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3E4A86" w14:textId="77777777" w:rsidR="00DF1DEF" w:rsidRPr="00DF1DEF" w:rsidRDefault="00DF1DEF" w:rsidP="00DF1DEF">
      <w:pPr>
        <w:spacing w:line="480" w:lineRule="auto"/>
        <w:jc w:val="center"/>
        <w:rPr>
          <w:rFonts w:ascii="Times New Roman" w:hAnsi="Times New Roman" w:cs="Times New Roman"/>
          <w:color w:val="000000" w:themeColor="text1"/>
        </w:rPr>
      </w:pPr>
    </w:p>
    <w:p w14:paraId="5DBDE86B" w14:textId="77777777" w:rsidR="00DF1DEF" w:rsidRPr="00DF1DEF" w:rsidRDefault="00DF1DEF" w:rsidP="00DF1DEF">
      <w:pPr>
        <w:spacing w:line="480" w:lineRule="auto"/>
        <w:jc w:val="center"/>
        <w:rPr>
          <w:rFonts w:ascii="Times New Roman" w:hAnsi="Times New Roman" w:cs="Times New Roman"/>
          <w:color w:val="000000" w:themeColor="text1"/>
        </w:rPr>
      </w:pPr>
    </w:p>
    <w:p w14:paraId="598A46BB" w14:textId="77777777" w:rsidR="00DF1DEF" w:rsidRPr="00DF1DEF" w:rsidRDefault="00DF1DEF" w:rsidP="00DF1DEF">
      <w:pPr>
        <w:spacing w:line="480" w:lineRule="auto"/>
        <w:jc w:val="center"/>
        <w:rPr>
          <w:rFonts w:ascii="Times New Roman" w:hAnsi="Times New Roman" w:cs="Times New Roman"/>
          <w:color w:val="000000" w:themeColor="text1"/>
        </w:rPr>
      </w:pPr>
    </w:p>
    <w:p w14:paraId="28C8696C" w14:textId="77777777" w:rsidR="00DF1DEF" w:rsidRPr="00DF1DEF" w:rsidRDefault="00DF1DEF" w:rsidP="00DF1DEF">
      <w:pPr>
        <w:spacing w:line="480" w:lineRule="auto"/>
        <w:jc w:val="center"/>
        <w:rPr>
          <w:rFonts w:ascii="Times New Roman" w:hAnsi="Times New Roman" w:cs="Times New Roman"/>
          <w:color w:val="000000" w:themeColor="text1"/>
        </w:rPr>
      </w:pPr>
    </w:p>
    <w:p w14:paraId="2B8126E2" w14:textId="77777777" w:rsidR="00DF1DEF" w:rsidRPr="00DF1DEF" w:rsidRDefault="00DF1DEF" w:rsidP="00DF1DEF">
      <w:pPr>
        <w:spacing w:line="480" w:lineRule="auto"/>
        <w:jc w:val="center"/>
        <w:rPr>
          <w:rFonts w:ascii="Times New Roman" w:hAnsi="Times New Roman" w:cs="Times New Roman"/>
          <w:color w:val="000000" w:themeColor="text1"/>
        </w:rPr>
      </w:pPr>
    </w:p>
    <w:p w14:paraId="14BD6CFE" w14:textId="77777777" w:rsidR="00DF1DEF" w:rsidRPr="00DF1DEF" w:rsidRDefault="00DF1DEF" w:rsidP="00DF1DEF">
      <w:pPr>
        <w:spacing w:line="480" w:lineRule="auto"/>
        <w:jc w:val="center"/>
        <w:rPr>
          <w:rFonts w:ascii="Times New Roman" w:hAnsi="Times New Roman" w:cs="Times New Roman"/>
          <w:color w:val="000000" w:themeColor="text1"/>
        </w:rPr>
      </w:pPr>
    </w:p>
    <w:p w14:paraId="3CBCE682" w14:textId="77777777" w:rsidR="00DF1DEF" w:rsidRPr="00DF1DEF" w:rsidRDefault="00DF1DEF" w:rsidP="00DF1DEF">
      <w:pPr>
        <w:spacing w:line="480" w:lineRule="auto"/>
        <w:jc w:val="center"/>
        <w:rPr>
          <w:rFonts w:ascii="Times New Roman" w:hAnsi="Times New Roman" w:cs="Times New Roman"/>
          <w:color w:val="000000" w:themeColor="text1"/>
        </w:rPr>
      </w:pPr>
    </w:p>
    <w:p w14:paraId="3047ED36" w14:textId="49DA8123" w:rsidR="004A07D4" w:rsidRDefault="00DF1DEF" w:rsidP="00DF1DEF">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A</w:t>
      </w:r>
      <w:r w:rsidR="004A07D4" w:rsidRPr="00DF1DEF">
        <w:rPr>
          <w:rFonts w:ascii="Times New Roman" w:hAnsi="Times New Roman" w:cs="Times New Roman"/>
          <w:color w:val="000000" w:themeColor="text1"/>
        </w:rPr>
        <w:t xml:space="preserve"> Human Rights-based Approach to </w:t>
      </w:r>
      <w:r>
        <w:rPr>
          <w:rFonts w:ascii="Times New Roman" w:hAnsi="Times New Roman" w:cs="Times New Roman"/>
          <w:color w:val="000000" w:themeColor="text1"/>
        </w:rPr>
        <w:t>I</w:t>
      </w:r>
      <w:r w:rsidR="004A07D4" w:rsidRPr="00DF1DEF">
        <w:rPr>
          <w:rFonts w:ascii="Times New Roman" w:hAnsi="Times New Roman" w:cs="Times New Roman"/>
          <w:color w:val="000000" w:themeColor="text1"/>
        </w:rPr>
        <w:t xml:space="preserve">mproving </w:t>
      </w:r>
      <w:r>
        <w:rPr>
          <w:rFonts w:ascii="Times New Roman" w:hAnsi="Times New Roman" w:cs="Times New Roman"/>
          <w:color w:val="000000" w:themeColor="text1"/>
        </w:rPr>
        <w:t>P</w:t>
      </w:r>
      <w:r w:rsidR="004A07D4" w:rsidRPr="00DF1DEF">
        <w:rPr>
          <w:rFonts w:ascii="Times New Roman" w:hAnsi="Times New Roman" w:cs="Times New Roman"/>
          <w:color w:val="000000" w:themeColor="text1"/>
        </w:rPr>
        <w:t xml:space="preserve">rimary </w:t>
      </w:r>
      <w:r>
        <w:rPr>
          <w:rFonts w:ascii="Times New Roman" w:hAnsi="Times New Roman" w:cs="Times New Roman"/>
          <w:color w:val="000000" w:themeColor="text1"/>
        </w:rPr>
        <w:t>C</w:t>
      </w:r>
      <w:r w:rsidR="004A07D4" w:rsidRPr="00DF1DEF">
        <w:rPr>
          <w:rFonts w:ascii="Times New Roman" w:hAnsi="Times New Roman" w:cs="Times New Roman"/>
          <w:color w:val="000000" w:themeColor="text1"/>
        </w:rPr>
        <w:t xml:space="preserve">are </w:t>
      </w:r>
      <w:r>
        <w:rPr>
          <w:rFonts w:ascii="Times New Roman" w:hAnsi="Times New Roman" w:cs="Times New Roman"/>
          <w:color w:val="000000" w:themeColor="text1"/>
        </w:rPr>
        <w:t>D</w:t>
      </w:r>
      <w:r w:rsidR="004A07D4" w:rsidRPr="00DF1DEF">
        <w:rPr>
          <w:rFonts w:ascii="Times New Roman" w:hAnsi="Times New Roman" w:cs="Times New Roman"/>
          <w:color w:val="000000" w:themeColor="text1"/>
        </w:rPr>
        <w:t>elivery to Aboriginal and Torres Strait Islander People</w:t>
      </w:r>
    </w:p>
    <w:p w14:paraId="5E98FFAB" w14:textId="77777777" w:rsidR="00DF1DEF" w:rsidRPr="00DF1DEF" w:rsidRDefault="00DF1DEF" w:rsidP="00DF1DEF">
      <w:pPr>
        <w:spacing w:line="480" w:lineRule="auto"/>
        <w:jc w:val="center"/>
        <w:rPr>
          <w:rFonts w:ascii="Times New Roman" w:hAnsi="Times New Roman" w:cs="Times New Roman"/>
          <w:color w:val="000000" w:themeColor="text1"/>
        </w:rPr>
      </w:pPr>
    </w:p>
    <w:p w14:paraId="07B0298B" w14:textId="65FB61E9" w:rsidR="004A07D4" w:rsidRPr="00DF1DEF" w:rsidRDefault="004A07D4" w:rsidP="00DF1DEF">
      <w:pPr>
        <w:spacing w:line="480" w:lineRule="auto"/>
        <w:jc w:val="center"/>
        <w:rPr>
          <w:rFonts w:ascii="Times New Roman" w:hAnsi="Times New Roman" w:cs="Times New Roman"/>
          <w:color w:val="000000" w:themeColor="text1"/>
        </w:rPr>
      </w:pPr>
      <w:r w:rsidRPr="00DF1DEF">
        <w:rPr>
          <w:rFonts w:ascii="Times New Roman" w:hAnsi="Times New Roman" w:cs="Times New Roman"/>
          <w:color w:val="000000" w:themeColor="text1"/>
        </w:rPr>
        <w:t>Name of Author:</w:t>
      </w:r>
    </w:p>
    <w:p w14:paraId="7FEDEF1E" w14:textId="04628FB7" w:rsidR="004A07D4" w:rsidRPr="00DF1DEF" w:rsidRDefault="00FF4BF9" w:rsidP="00DF1DEF">
      <w:pPr>
        <w:spacing w:line="480" w:lineRule="auto"/>
        <w:jc w:val="center"/>
        <w:rPr>
          <w:rFonts w:ascii="Times New Roman" w:hAnsi="Times New Roman" w:cs="Times New Roman"/>
          <w:color w:val="000000" w:themeColor="text1"/>
        </w:rPr>
      </w:pPr>
      <w:r w:rsidRPr="00DF1DEF">
        <w:rPr>
          <w:rFonts w:ascii="Times New Roman" w:hAnsi="Times New Roman" w:cs="Times New Roman"/>
          <w:color w:val="000000" w:themeColor="text1"/>
        </w:rPr>
        <w:t>Institution</w:t>
      </w:r>
      <w:r w:rsidR="004A07D4" w:rsidRPr="00DF1DEF">
        <w:rPr>
          <w:rFonts w:ascii="Times New Roman" w:hAnsi="Times New Roman" w:cs="Times New Roman"/>
          <w:color w:val="000000" w:themeColor="text1"/>
        </w:rPr>
        <w:t>:</w:t>
      </w:r>
    </w:p>
    <w:p w14:paraId="77E805FA" w14:textId="7CF99C26" w:rsidR="004A07D4" w:rsidRPr="00DF1DEF" w:rsidRDefault="004A07D4" w:rsidP="00DF1DEF">
      <w:pPr>
        <w:spacing w:line="480" w:lineRule="auto"/>
        <w:jc w:val="center"/>
        <w:rPr>
          <w:rFonts w:ascii="Times New Roman" w:hAnsi="Times New Roman" w:cs="Times New Roman"/>
          <w:color w:val="000000" w:themeColor="text1"/>
        </w:rPr>
      </w:pPr>
      <w:r w:rsidRPr="00DF1DEF">
        <w:rPr>
          <w:rFonts w:ascii="Times New Roman" w:hAnsi="Times New Roman" w:cs="Times New Roman"/>
          <w:color w:val="000000" w:themeColor="text1"/>
        </w:rPr>
        <w:t>Date:</w:t>
      </w:r>
    </w:p>
    <w:p w14:paraId="35E3CDC9" w14:textId="77777777" w:rsidR="00DF1DEF" w:rsidRPr="00DF1DEF" w:rsidRDefault="00DF1DEF" w:rsidP="00DF1DEF">
      <w:pPr>
        <w:spacing w:line="480" w:lineRule="auto"/>
        <w:jc w:val="center"/>
        <w:rPr>
          <w:rFonts w:ascii="Times New Roman" w:hAnsi="Times New Roman" w:cs="Times New Roman"/>
          <w:color w:val="000000" w:themeColor="text1"/>
        </w:rPr>
      </w:pPr>
    </w:p>
    <w:p w14:paraId="7F5A7993" w14:textId="77777777" w:rsidR="00DF1DEF" w:rsidRPr="00DF1DEF" w:rsidRDefault="00DF1DEF" w:rsidP="00DF1DEF">
      <w:pPr>
        <w:spacing w:line="480" w:lineRule="auto"/>
        <w:jc w:val="center"/>
        <w:rPr>
          <w:rFonts w:ascii="Times New Roman" w:hAnsi="Times New Roman" w:cs="Times New Roman"/>
          <w:color w:val="000000" w:themeColor="text1"/>
        </w:rPr>
      </w:pPr>
    </w:p>
    <w:p w14:paraId="4CF6E946" w14:textId="77777777" w:rsidR="00DF1DEF" w:rsidRPr="00DF1DEF" w:rsidRDefault="00DF1DEF" w:rsidP="00DF1DEF">
      <w:pPr>
        <w:spacing w:line="480" w:lineRule="auto"/>
        <w:jc w:val="center"/>
        <w:rPr>
          <w:rFonts w:ascii="Times New Roman" w:hAnsi="Times New Roman" w:cs="Times New Roman"/>
          <w:color w:val="000000" w:themeColor="text1"/>
        </w:rPr>
      </w:pPr>
    </w:p>
    <w:p w14:paraId="375FF96C" w14:textId="77777777" w:rsidR="00DF1DEF" w:rsidRPr="00DF1DEF" w:rsidRDefault="00DF1DEF" w:rsidP="00DF1DEF">
      <w:pPr>
        <w:spacing w:line="480" w:lineRule="auto"/>
        <w:jc w:val="center"/>
        <w:rPr>
          <w:rFonts w:ascii="Times New Roman" w:hAnsi="Times New Roman" w:cs="Times New Roman"/>
          <w:color w:val="000000" w:themeColor="text1"/>
        </w:rPr>
      </w:pPr>
    </w:p>
    <w:p w14:paraId="77F079A6" w14:textId="77777777" w:rsidR="00DF1DEF" w:rsidRPr="00DF1DEF" w:rsidRDefault="00DF1DEF" w:rsidP="00DF1DEF">
      <w:pPr>
        <w:spacing w:line="480" w:lineRule="auto"/>
        <w:jc w:val="center"/>
        <w:rPr>
          <w:rFonts w:ascii="Times New Roman" w:hAnsi="Times New Roman" w:cs="Times New Roman"/>
          <w:color w:val="000000" w:themeColor="text1"/>
        </w:rPr>
      </w:pPr>
    </w:p>
    <w:p w14:paraId="5F77D834" w14:textId="77777777" w:rsidR="00DF1DEF" w:rsidRPr="00DF1DEF" w:rsidRDefault="00DF1DEF" w:rsidP="00DF1DEF">
      <w:pPr>
        <w:spacing w:line="480" w:lineRule="auto"/>
        <w:jc w:val="center"/>
        <w:rPr>
          <w:rFonts w:ascii="Times New Roman" w:hAnsi="Times New Roman" w:cs="Times New Roman"/>
          <w:color w:val="000000" w:themeColor="text1"/>
        </w:rPr>
      </w:pPr>
    </w:p>
    <w:p w14:paraId="13AE2952" w14:textId="77777777" w:rsidR="00DF1DEF" w:rsidRPr="00DF1DEF" w:rsidRDefault="00DF1DEF" w:rsidP="00DF1DEF">
      <w:pPr>
        <w:spacing w:line="480" w:lineRule="auto"/>
        <w:jc w:val="center"/>
        <w:rPr>
          <w:rFonts w:ascii="Times New Roman" w:hAnsi="Times New Roman" w:cs="Times New Roman"/>
          <w:color w:val="000000" w:themeColor="text1"/>
        </w:rPr>
      </w:pPr>
    </w:p>
    <w:p w14:paraId="1B73EDE2" w14:textId="77777777" w:rsidR="00DF1DEF" w:rsidRPr="00DF1DEF" w:rsidRDefault="00DF1DEF" w:rsidP="00DF1DEF">
      <w:pPr>
        <w:spacing w:line="480" w:lineRule="auto"/>
        <w:jc w:val="center"/>
        <w:rPr>
          <w:rFonts w:ascii="Times New Roman" w:hAnsi="Times New Roman" w:cs="Times New Roman"/>
          <w:color w:val="000000" w:themeColor="text1"/>
        </w:rPr>
      </w:pPr>
    </w:p>
    <w:p w14:paraId="4979A854" w14:textId="77777777" w:rsidR="00DF1DEF" w:rsidRPr="00DF1DEF" w:rsidRDefault="00DF1DEF" w:rsidP="00DF1DEF">
      <w:pPr>
        <w:spacing w:line="480" w:lineRule="auto"/>
        <w:jc w:val="center"/>
        <w:rPr>
          <w:rFonts w:ascii="Times New Roman" w:hAnsi="Times New Roman" w:cs="Times New Roman"/>
          <w:color w:val="000000" w:themeColor="text1"/>
        </w:rPr>
      </w:pPr>
    </w:p>
    <w:p w14:paraId="5B3B8551" w14:textId="77777777" w:rsidR="00DF1DEF" w:rsidRPr="00DF1DEF" w:rsidRDefault="00DF1DEF" w:rsidP="00DF1DEF">
      <w:pPr>
        <w:spacing w:line="480" w:lineRule="auto"/>
        <w:jc w:val="center"/>
        <w:rPr>
          <w:rFonts w:ascii="Times New Roman" w:hAnsi="Times New Roman" w:cs="Times New Roman"/>
          <w:color w:val="000000" w:themeColor="text1"/>
        </w:rPr>
      </w:pPr>
    </w:p>
    <w:p w14:paraId="1576565C" w14:textId="77777777" w:rsidR="00DF1DEF" w:rsidRPr="00DF1DEF" w:rsidRDefault="00DF1DEF" w:rsidP="00DF1DEF">
      <w:pPr>
        <w:spacing w:line="480" w:lineRule="auto"/>
        <w:jc w:val="center"/>
        <w:rPr>
          <w:rFonts w:ascii="Times New Roman" w:hAnsi="Times New Roman" w:cs="Times New Roman"/>
          <w:color w:val="000000" w:themeColor="text1"/>
        </w:rPr>
      </w:pPr>
    </w:p>
    <w:p w14:paraId="77DBCA68" w14:textId="77777777" w:rsidR="00DF1DEF" w:rsidRPr="00DF1DEF" w:rsidRDefault="00DF1DEF" w:rsidP="00DF1DEF">
      <w:pPr>
        <w:spacing w:line="480" w:lineRule="auto"/>
        <w:jc w:val="center"/>
        <w:rPr>
          <w:rFonts w:ascii="Times New Roman" w:hAnsi="Times New Roman" w:cs="Times New Roman"/>
          <w:color w:val="000000" w:themeColor="text1"/>
        </w:rPr>
      </w:pPr>
    </w:p>
    <w:p w14:paraId="4C3FAF96" w14:textId="07E52643" w:rsidR="004A07D4" w:rsidRPr="00DF1DEF" w:rsidRDefault="004A07D4" w:rsidP="00DF1DEF">
      <w:pPr>
        <w:spacing w:line="480" w:lineRule="auto"/>
        <w:jc w:val="center"/>
        <w:rPr>
          <w:rFonts w:ascii="Times New Roman" w:hAnsi="Times New Roman" w:cs="Times New Roman"/>
          <w:b/>
          <w:color w:val="000000" w:themeColor="text1"/>
        </w:rPr>
      </w:pPr>
      <w:r w:rsidRPr="00DF1DEF">
        <w:rPr>
          <w:rFonts w:ascii="Times New Roman" w:hAnsi="Times New Roman" w:cs="Times New Roman"/>
          <w:b/>
          <w:color w:val="000000" w:themeColor="text1"/>
        </w:rPr>
        <w:lastRenderedPageBreak/>
        <w:t>Introduction</w:t>
      </w:r>
    </w:p>
    <w:p w14:paraId="2A9742A9" w14:textId="18D51FFB" w:rsidR="004A07D4" w:rsidRPr="00DF1DEF" w:rsidRDefault="007E60FB"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 xml:space="preserve">Primary care is a critical component in which the healthcare professionals such as dentists, pharmacists and general practitioners make the first contact to the people in need of services (White, 2015). In Australia, primary health care delivery has been termed as unequal, with specific populations such as Aboriginal and Torres Strait Islander people lagging. The history of colonization in the country brought a sizable share of problems for the indigenous people, including exposing them to systematic racism.  It led to segregating them from the fundamental national processes, such as providing effective healthcare services (Paradies et al., 2008). </w:t>
      </w:r>
      <w:r w:rsidR="00DF1DEF">
        <w:rPr>
          <w:rFonts w:ascii="Times New Roman" w:hAnsi="Times New Roman" w:cs="Times New Roman"/>
          <w:color w:val="000000" w:themeColor="text1"/>
        </w:rPr>
        <w:t>Currently, F</w:t>
      </w:r>
      <w:r w:rsidRPr="00DF1DEF">
        <w:rPr>
          <w:rFonts w:ascii="Times New Roman" w:hAnsi="Times New Roman" w:cs="Times New Roman"/>
          <w:color w:val="000000" w:themeColor="text1"/>
        </w:rPr>
        <w:t>irst Nations face poor health outcomes than other racial/ethnic groups, including higher mortality rates and higher rates of mental health challenges (Durey et al., 2016). Even after the Australian government has poured millions of funds into supporting indigenous people's healthcare, low engagement levels slowed the efforts to Closing the Gap. This analysis evaluates the impact of colonization on primary healthcare access to the indigenous people and proposes a human rights approach as ideal in getting the people involved to drive up their access in primary care and meet their goals</w:t>
      </w:r>
      <w:r w:rsidR="00753659" w:rsidRPr="00DF1DEF">
        <w:rPr>
          <w:rFonts w:ascii="Times New Roman" w:hAnsi="Times New Roman" w:cs="Times New Roman"/>
          <w:color w:val="000000" w:themeColor="text1"/>
        </w:rPr>
        <w:t xml:space="preserve">. </w:t>
      </w:r>
    </w:p>
    <w:p w14:paraId="07EA71F5" w14:textId="77777777" w:rsidR="00753659" w:rsidRPr="00DF1DEF" w:rsidRDefault="00753659" w:rsidP="00DF1DEF">
      <w:pPr>
        <w:spacing w:line="480" w:lineRule="auto"/>
        <w:ind w:firstLine="720"/>
        <w:rPr>
          <w:rFonts w:ascii="Times New Roman" w:hAnsi="Times New Roman" w:cs="Times New Roman"/>
          <w:color w:val="000000" w:themeColor="text1"/>
        </w:rPr>
      </w:pPr>
    </w:p>
    <w:p w14:paraId="26D64F5B" w14:textId="0C9FF6EB" w:rsidR="00753659" w:rsidRPr="00DF1DEF" w:rsidRDefault="00753659" w:rsidP="00DF1DEF">
      <w:pPr>
        <w:spacing w:line="480" w:lineRule="auto"/>
        <w:ind w:firstLine="720"/>
        <w:jc w:val="center"/>
        <w:rPr>
          <w:rFonts w:ascii="Times New Roman" w:hAnsi="Times New Roman" w:cs="Times New Roman"/>
          <w:b/>
          <w:color w:val="000000" w:themeColor="text1"/>
        </w:rPr>
      </w:pPr>
      <w:r w:rsidRPr="00DF1DEF">
        <w:rPr>
          <w:rFonts w:ascii="Times New Roman" w:hAnsi="Times New Roman" w:cs="Times New Roman"/>
          <w:b/>
          <w:color w:val="000000" w:themeColor="text1"/>
        </w:rPr>
        <w:t>Colonization and Health Inequalities</w:t>
      </w:r>
      <w:r w:rsidR="00D225F0" w:rsidRPr="00DF1DEF">
        <w:rPr>
          <w:rFonts w:ascii="Times New Roman" w:hAnsi="Times New Roman" w:cs="Times New Roman"/>
          <w:b/>
          <w:color w:val="000000" w:themeColor="text1"/>
        </w:rPr>
        <w:t xml:space="preserve"> for First Nations</w:t>
      </w:r>
    </w:p>
    <w:p w14:paraId="032A6637" w14:textId="6FFE2643" w:rsidR="00D225F0"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 xml:space="preserve">The history of Australia's indigenous people was a rich and great one, up until the last two hundred years. The Entry of Europeans brought about great suffering ranging from the entry of novel diseases, suppression, dispossessions and segregation towards the local communities. Apart from a decimated population by 90 percent between 1788 and 1900, the colonizers' continued stay spelled much more trans-generational segregations and suffering (Markwick et al., 2019). They had to live in reserves, restricted from teaching their children traditional language and wisdom, which led to a loss of heritage and fading of cultural </w:t>
      </w:r>
      <w:r w:rsidR="00DF1DEF" w:rsidRPr="00DF1DEF">
        <w:rPr>
          <w:rFonts w:ascii="Times New Roman" w:hAnsi="Times New Roman" w:cs="Times New Roman"/>
          <w:color w:val="000000" w:themeColor="text1"/>
        </w:rPr>
        <w:t>behaviour</w:t>
      </w:r>
      <w:r w:rsidRPr="00DF1DEF">
        <w:rPr>
          <w:rFonts w:ascii="Times New Roman" w:hAnsi="Times New Roman" w:cs="Times New Roman"/>
          <w:color w:val="000000" w:themeColor="text1"/>
        </w:rPr>
        <w:t xml:space="preserve"> (Waterworth et al., 2015). Even in the modern-day, evidence from personal </w:t>
      </w:r>
      <w:r w:rsidRPr="00DF1DEF">
        <w:rPr>
          <w:rFonts w:ascii="Times New Roman" w:hAnsi="Times New Roman" w:cs="Times New Roman"/>
          <w:color w:val="000000" w:themeColor="text1"/>
        </w:rPr>
        <w:lastRenderedPageBreak/>
        <w:t xml:space="preserve">experiences, media reports and scholarly research show that typical indigenous Australians experience both interpersonal and institutional racism, perceiving them as of lower socioeconomic status and excluding them from land ownership, economic opportunities and access to health care (Markwick et al., 2019). From a health care standpoint, racism has accounted for many health inequalities facing the Aboriginal and Torres Strait Islander people. It is most disturbing for the Australian society to deny or downplay the phenomenon of racism even when racist beliefs and </w:t>
      </w:r>
      <w:r w:rsidR="00DF1DEF" w:rsidRPr="00DF1DEF">
        <w:rPr>
          <w:rFonts w:ascii="Times New Roman" w:hAnsi="Times New Roman" w:cs="Times New Roman"/>
          <w:color w:val="000000" w:themeColor="text1"/>
        </w:rPr>
        <w:t>behaviours</w:t>
      </w:r>
      <w:r w:rsidRPr="00DF1DEF">
        <w:rPr>
          <w:rFonts w:ascii="Times New Roman" w:hAnsi="Times New Roman" w:cs="Times New Roman"/>
          <w:color w:val="000000" w:themeColor="text1"/>
        </w:rPr>
        <w:t xml:space="preserve"> are so prevalent</w:t>
      </w:r>
      <w:r w:rsidR="007123FC" w:rsidRPr="00DF1DEF">
        <w:rPr>
          <w:rFonts w:ascii="Times New Roman" w:hAnsi="Times New Roman" w:cs="Times New Roman"/>
          <w:color w:val="000000" w:themeColor="text1"/>
        </w:rPr>
        <w:t xml:space="preserve">. </w:t>
      </w:r>
    </w:p>
    <w:p w14:paraId="3E28C61C" w14:textId="3BB2A4BB" w:rsidR="007123FC"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Further on, the research community, including social justice reports, has identified that the indigenous health inequalities are traced to individual and systematic racism where the indigenous people's right to health has not been fully realized (Gray and Baillie, 2006: Calma, 2009a: Li et al., 2017). It means that Australian society has not fully ensured that the indigenous people have the same and equal opportunities to be healthy or effective measures taken to provide better access to these critical services. Based on perceived racism treatments, some indigenous people may be reluctant to seek primary care services for fear of not being fairly treated or perceived under the concept of otherness. There lacks sufficient goodwill to fully embrace indigenous populations' health care services, especially among the rural poor. Critics such as Calma (2009b) and Durey et al. (2016) have argued that healthcare empowerment to the First Nations is not just about providing funds by the federal government. There has been limited dialogue and engagement concerning how Aboriginal and Islander people ought to receive healthcare services. Reflecting on this information, it is ripe time to engage indigenous individuals, families and communities on accessing health care. It marks a time to confront the racist treatments and elevate the indigenous populations to a space where they champion a new course where their God-given rights to healthcare are well exercised. This gives rise to the human rights-based approach that would be discussed in the subsequent paragraphs</w:t>
      </w:r>
      <w:r w:rsidR="006127EF" w:rsidRPr="00DF1DEF">
        <w:rPr>
          <w:rFonts w:ascii="Times New Roman" w:hAnsi="Times New Roman" w:cs="Times New Roman"/>
          <w:color w:val="000000" w:themeColor="text1"/>
        </w:rPr>
        <w:t xml:space="preserve">. </w:t>
      </w:r>
    </w:p>
    <w:p w14:paraId="3B968DD6" w14:textId="43AA2E45" w:rsidR="006127EF" w:rsidRPr="00DF1DEF" w:rsidRDefault="006127EF" w:rsidP="00184D8C">
      <w:pPr>
        <w:spacing w:line="480" w:lineRule="auto"/>
        <w:ind w:firstLine="720"/>
        <w:rPr>
          <w:rFonts w:ascii="Times New Roman" w:hAnsi="Times New Roman" w:cs="Times New Roman"/>
          <w:color w:val="000000" w:themeColor="text1"/>
        </w:rPr>
      </w:pPr>
      <w:r w:rsidRPr="00DF1DEF">
        <w:rPr>
          <w:rFonts w:ascii="Times New Roman" w:hAnsi="Times New Roman" w:cs="Times New Roman"/>
          <w:b/>
          <w:color w:val="000000" w:themeColor="text1"/>
        </w:rPr>
        <w:lastRenderedPageBreak/>
        <w:t>Re</w:t>
      </w:r>
      <w:r w:rsidR="007E60FB" w:rsidRPr="00DF1DEF">
        <w:rPr>
          <w:rFonts w:ascii="Times New Roman" w:hAnsi="Times New Roman" w:cs="Times New Roman"/>
          <w:b/>
          <w:color w:val="000000" w:themeColor="text1"/>
        </w:rPr>
        <w:t xml:space="preserve">commendation of </w:t>
      </w:r>
      <w:r w:rsidRPr="00DF1DEF">
        <w:rPr>
          <w:rFonts w:ascii="Times New Roman" w:hAnsi="Times New Roman" w:cs="Times New Roman"/>
          <w:b/>
          <w:color w:val="000000" w:themeColor="text1"/>
        </w:rPr>
        <w:t xml:space="preserve">Human Rights-based Approach to Primary </w:t>
      </w:r>
      <w:r w:rsidR="007E60FB" w:rsidRPr="00DF1DEF">
        <w:rPr>
          <w:rFonts w:ascii="Times New Roman" w:hAnsi="Times New Roman" w:cs="Times New Roman"/>
          <w:b/>
          <w:color w:val="000000" w:themeColor="text1"/>
        </w:rPr>
        <w:t>Care</w:t>
      </w:r>
    </w:p>
    <w:p w14:paraId="63CAC9A2" w14:textId="77777777" w:rsidR="00FA3CF7"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 xml:space="preserve">In social and healthcare, the concept of the human rights-based approach is about continuously building capacity so that clients claim their rights in service provision. It is about holding parties accountable, developing skills and expertise and outlining policies to support human rights and eliminate any forms of discrimination (WHO Factsheet, 2008:London, 2013). Adopting a human rights-based approach does matter because it promotes social justice and ensures integrity where all partners are involved in the healthcare programs and processes (London, 2013). It also actively removes the systematic and cultural barriers in the sector and opens up opportunities for positive participation. In improving primary care delivery to Aboriginal and Torres Strait Islander people, a human right approach is about making them crucial partners and not passive participants in healthcare access and delivery. </w:t>
      </w:r>
    </w:p>
    <w:p w14:paraId="0D908BEE" w14:textId="051FE506" w:rsidR="00764147"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By making the indigenous people, key actors for their own health care development, this approach seeks to ensure they participate in the formulation of policies and initiatives to promote more access to primary healthcare (Australian Human Rights Commission, 2005). These initiatives, therefore, seek to empower, not disempower and provide more ownership to the healthcare sector. In an effort to reduce disparities in the access of healthcare services, ownership means that the local indigenous communities associate the resources, people and processes as part of their system. They are encouraged to visit the primary health care institutions, engage with practitioners and fully interact with the healthcare systems. These populations are given a voice in how healthcare decisions ought to be made and in ways that appeal to their needs as key stakeholders. In turn, the practitioners are open-minded to take the views of the indigenous clients and ensure transparency in dealing with them. By doing this, the indigenous persons will feel more involved and develop more positive perceptions towards the primary healthcare processes and personnel</w:t>
      </w:r>
      <w:r w:rsidR="00370A4C" w:rsidRPr="00DF1DEF">
        <w:rPr>
          <w:rFonts w:ascii="Times New Roman" w:hAnsi="Times New Roman" w:cs="Times New Roman"/>
          <w:color w:val="000000" w:themeColor="text1"/>
        </w:rPr>
        <w:t xml:space="preserve">. </w:t>
      </w:r>
    </w:p>
    <w:p w14:paraId="75628315" w14:textId="1C9CC35D" w:rsidR="00370A4C"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lastRenderedPageBreak/>
        <w:t xml:space="preserve">The fundamental principle for this approach to drive up more engagement and liaison is that healthcare is a human right, and it applies to all across the board. Within the context of primary health care in Australia, it has always been a theoretical notation that healthcare is a basic human right for all. The efforts directed towards Closing the Gap have been termed as national property, but the trend of health inequalities persists. The Aboriginal and Torres Strait Islander people still face enormous cultural barriers due to racist treatments, which has pushed them to the fringe of society. In moving beyond words, it is vital to embrace real-life initiatives that make the indigenous populations truly involved in primary health care processes as people who have a voice in what they want. Data from the Northern Territory showed among the indigenous populations, the burden of disease measured as disability-adjusted life-years per 1,000 population is 2.5 times more than the rest of Australians (Gray and Baillie, 2006). Besides, the indigenous people die between 10 years and 17 years younger than non-indigenous people, while deaths from chronic diseases such as diabetes are tenfold than the rest of Australians (Calma, 2009: Rheault et al., 2019). These and other worrying statistics point to widening inequalities that </w:t>
      </w:r>
      <w:r w:rsidR="00DF1DEF" w:rsidRPr="00DF1DEF">
        <w:rPr>
          <w:rFonts w:ascii="Times New Roman" w:hAnsi="Times New Roman" w:cs="Times New Roman"/>
          <w:color w:val="000000" w:themeColor="text1"/>
        </w:rPr>
        <w:t>disfavour</w:t>
      </w:r>
      <w:r w:rsidRPr="00DF1DEF">
        <w:rPr>
          <w:rFonts w:ascii="Times New Roman" w:hAnsi="Times New Roman" w:cs="Times New Roman"/>
          <w:color w:val="000000" w:themeColor="text1"/>
        </w:rPr>
        <w:t xml:space="preserve"> the Aboriginal and Torres Strait Islander people. It is therefore not enough to say that access to healthcare is a basic right until these people are actually involved in improving access levels at the grassroots levels</w:t>
      </w:r>
      <w:r w:rsidR="00BC605D" w:rsidRPr="00DF1DEF">
        <w:rPr>
          <w:rFonts w:ascii="Times New Roman" w:hAnsi="Times New Roman" w:cs="Times New Roman"/>
          <w:color w:val="000000" w:themeColor="text1"/>
        </w:rPr>
        <w:t>.</w:t>
      </w:r>
      <w:r w:rsidR="0093725C" w:rsidRPr="00DF1DEF">
        <w:rPr>
          <w:rFonts w:ascii="Times New Roman" w:hAnsi="Times New Roman" w:cs="Times New Roman"/>
          <w:color w:val="000000" w:themeColor="text1"/>
        </w:rPr>
        <w:t xml:space="preserve"> </w:t>
      </w:r>
    </w:p>
    <w:p w14:paraId="2D594DC6" w14:textId="77777777" w:rsidR="00DF1DEF" w:rsidRPr="00DF1DEF" w:rsidRDefault="00DF1DEF" w:rsidP="00DF1DEF">
      <w:pPr>
        <w:spacing w:line="480" w:lineRule="auto"/>
        <w:ind w:firstLine="720"/>
        <w:rPr>
          <w:rFonts w:ascii="Times New Roman" w:hAnsi="Times New Roman" w:cs="Times New Roman"/>
          <w:color w:val="000000" w:themeColor="text1"/>
        </w:rPr>
      </w:pPr>
    </w:p>
    <w:p w14:paraId="7104BDE1" w14:textId="5DF54B49" w:rsidR="00BC605D" w:rsidRPr="00DF1DEF" w:rsidRDefault="00BC605D" w:rsidP="00DF1DEF">
      <w:pPr>
        <w:spacing w:line="480" w:lineRule="auto"/>
        <w:jc w:val="center"/>
        <w:rPr>
          <w:rFonts w:ascii="Times New Roman" w:hAnsi="Times New Roman" w:cs="Times New Roman"/>
          <w:b/>
          <w:color w:val="000000" w:themeColor="text1"/>
        </w:rPr>
      </w:pPr>
      <w:r w:rsidRPr="00DF1DEF">
        <w:rPr>
          <w:rFonts w:ascii="Times New Roman" w:hAnsi="Times New Roman" w:cs="Times New Roman"/>
          <w:b/>
          <w:color w:val="000000" w:themeColor="text1"/>
        </w:rPr>
        <w:t>Applying the Nuka Model</w:t>
      </w:r>
    </w:p>
    <w:p w14:paraId="12AEE084" w14:textId="77777777" w:rsidR="00FA3CF7"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 xml:space="preserve">The problems facing the Australian indigenous people are not uncommon to other indigenous people in other world regions because of the similarities in their history surrounding segregation and racial discrimination. One ideal example of reducing the gaps in access to primary health care is using the Nuka model developed in the late 1990s to permit Alaska native people to have more control of healthcare services (Kings Fund, 2021). The word, Nuka, was adopted from Alaska's native language to mean strong or giant structures. </w:t>
      </w:r>
      <w:r w:rsidRPr="00DF1DEF">
        <w:rPr>
          <w:rFonts w:ascii="Times New Roman" w:hAnsi="Times New Roman" w:cs="Times New Roman"/>
          <w:color w:val="000000" w:themeColor="text1"/>
        </w:rPr>
        <w:lastRenderedPageBreak/>
        <w:t xml:space="preserve">Spearheaded by the South Central Foundation in collaboration with the Alaska Native community, the Nuka approach was basically an initiative for the indigenous people to work together with health care providers and attain health care goals. The basic foundation was patient-centred medical model in which multidisciplinary teams would offer integrated care services to families and communities while allowing for dialogue and engagement to best shape the treatment (Gottlieb, 2013). A specific initiative such as the Nuka's Family Wellness Warriors programme targeted abuse, neglect and domestic violence among indigenous people through training and community engagement (Kings Fund, 2021). </w:t>
      </w:r>
    </w:p>
    <w:p w14:paraId="4EA9DBC4" w14:textId="1C85BA06" w:rsidR="00BD494E" w:rsidRPr="00DF1DEF" w:rsidRDefault="00FA3CF7"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 xml:space="preserve">Shifting to the Australian context, the Nuka system of care would be ideal to ensure that the indigenous communities are well engaged and take an active role in implementing truly human rights-based approaches to primary care. Much of the scholarly attention has been on how Australia's indigenous primary healthcare model is flawed, exposing the population to little or no decision-making (Harfield et al., 2018).  As already highlighted, the Aboriginal and Torres Strait Islander people would no longer be the segregated passive receivers of services but the "customer-owners" of the system). Since the model </w:t>
      </w:r>
      <w:r w:rsidR="00DF1DEF" w:rsidRPr="00DF1DEF">
        <w:rPr>
          <w:rFonts w:ascii="Times New Roman" w:hAnsi="Times New Roman" w:cs="Times New Roman"/>
          <w:color w:val="000000" w:themeColor="text1"/>
        </w:rPr>
        <w:t>centres</w:t>
      </w:r>
      <w:r w:rsidRPr="00DF1DEF">
        <w:rPr>
          <w:rFonts w:ascii="Times New Roman" w:hAnsi="Times New Roman" w:cs="Times New Roman"/>
          <w:color w:val="000000" w:themeColor="text1"/>
        </w:rPr>
        <w:t xml:space="preserve"> on developing relationships, innovation and continuous efforts to offer patient-centred care, the indigenous people will be involved at all levels (Gottlieb, 2013). As they transition from being "beneficiaries" to "owners," the people would help shape the cost, availability, convenience and time aspects of primary health care. For instance, within a local community, pregnant women from indigenous populations will be able to demand better prenatal services at low costs by championing more practitioners who serve them in distinct locations. Another example would be how to best schedule chronic care, such as diabetes management, in ways that fit the needs of the local populations. This shared decision-making approach would be vital to reshape and restructure the treatment processes since the local populations are owners and distinct partners</w:t>
      </w:r>
      <w:r w:rsidR="004D195B" w:rsidRPr="00DF1DEF">
        <w:rPr>
          <w:rFonts w:ascii="Times New Roman" w:hAnsi="Times New Roman" w:cs="Times New Roman"/>
          <w:color w:val="000000" w:themeColor="text1"/>
        </w:rPr>
        <w:t xml:space="preserve">. </w:t>
      </w:r>
    </w:p>
    <w:p w14:paraId="770C30DC" w14:textId="77777777" w:rsidR="00DF1DEF" w:rsidRPr="00DF1DEF" w:rsidRDefault="00DF1DEF"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lastRenderedPageBreak/>
        <w:t>Finally, to achieve the effectiveness of the human rights-based approach and close the inequality gaps, local communities would require adequate health care literacy. Empowering people begins with availing the right tools, skills, knowledge and expertise for them to recognize their role in advancing healthcare. Regrettably, current evidence shows that the healthcare literacy levels are lower than the rest of the Australians. For instance, a recent study by Rheault et al. (2019) showed that low health care literacy of 59 percent was recorded among Australian adults with almost non-existent data on the Aboriginal and Torres Strait Islander peoples. In agreement, Nash and Arora (2021) associated the low health literacy among indigenous populations to poor health outcomes, while a Lowitja Institute report compiled by Bonson (2021) advocated for improving literacy through prioritizing cultural concept in health and placing attention on social determinants. In the modern age, adds Smith et al. (2020), social media is vital in building health literacy, especially among youthful indigenous people.</w:t>
      </w:r>
    </w:p>
    <w:p w14:paraId="747D17D9" w14:textId="13D5F98D" w:rsidR="00332277" w:rsidRPr="00DF1DEF" w:rsidRDefault="00DF1DEF"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Ideally, the indigenous people would be encouraged to share what they know about primary care aspects, their cultural perceptions and how to mould the care practices to reflect their needs and wants. For instance, if an indigenous patient feels the non-indigenous nurse does not trust them, how can the two converse to work around the problem other than leaving the racial tension to impact the treatment. Alternatively, should they be allowed to believe in their deities and pray for their loved ones in care centres? Or perhaps they need more native practitioners serving them since it is easier to converse with them. The dialogues and interactions will unveil new knowledge, and consensus will be sought on how best to offer the care services. Therefore, in the consultative activities with the Aboriginal and Torres Strait Islander peoples, information sharing is a crucial milestone capturing the input of both service providers and local individuals, families, and communities in shaping how care should be provided</w:t>
      </w:r>
      <w:r w:rsidR="00761AF8" w:rsidRPr="00DF1DEF">
        <w:rPr>
          <w:rFonts w:ascii="Times New Roman" w:hAnsi="Times New Roman" w:cs="Times New Roman"/>
          <w:color w:val="000000" w:themeColor="text1"/>
        </w:rPr>
        <w:t xml:space="preserve">. </w:t>
      </w:r>
    </w:p>
    <w:p w14:paraId="37B28EBE" w14:textId="5622EF1F" w:rsidR="008815C3" w:rsidRPr="00DF1DEF" w:rsidRDefault="008815C3" w:rsidP="00184D8C">
      <w:pPr>
        <w:spacing w:line="276" w:lineRule="auto"/>
        <w:ind w:firstLine="720"/>
        <w:jc w:val="center"/>
        <w:rPr>
          <w:rFonts w:ascii="Times New Roman" w:hAnsi="Times New Roman" w:cs="Times New Roman"/>
          <w:b/>
          <w:color w:val="000000" w:themeColor="text1"/>
        </w:rPr>
      </w:pPr>
      <w:r w:rsidRPr="00DF1DEF">
        <w:rPr>
          <w:rFonts w:ascii="Times New Roman" w:hAnsi="Times New Roman" w:cs="Times New Roman"/>
          <w:b/>
          <w:color w:val="000000" w:themeColor="text1"/>
        </w:rPr>
        <w:lastRenderedPageBreak/>
        <w:t>Conclusion</w:t>
      </w:r>
    </w:p>
    <w:p w14:paraId="4A736F96" w14:textId="2375E461" w:rsidR="008815C3" w:rsidRPr="00DF1DEF" w:rsidRDefault="00DF1DEF" w:rsidP="00DF1DEF">
      <w:pPr>
        <w:spacing w:line="480" w:lineRule="auto"/>
        <w:ind w:firstLine="720"/>
        <w:rPr>
          <w:rFonts w:ascii="Times New Roman" w:hAnsi="Times New Roman" w:cs="Times New Roman"/>
          <w:color w:val="000000" w:themeColor="text1"/>
        </w:rPr>
      </w:pPr>
      <w:r w:rsidRPr="00DF1DEF">
        <w:rPr>
          <w:rFonts w:ascii="Times New Roman" w:hAnsi="Times New Roman" w:cs="Times New Roman"/>
          <w:color w:val="000000" w:themeColor="text1"/>
        </w:rPr>
        <w:t>A review of the Australian healthcare research indicates a myriad of social and cultural hindrances affecting how the Australian adults with almost non-existent data on the Aboriginal access primary healthcare services. As a result, this group has worse health outcomes compared to the rest of Australians. To address healthcare inequalities, this paper has argued in favour of a human rights-based approach to treatment that seeks to transition the indigenous persons from passive recipients of services to owners who take an active role in shaping the care services. It is a bold step away from the ills of colonization that left the indigenous communities segregated as victims of individual and institutionalized racism. Borrowing from the Nuka system of care practices by the Alaska native people, the new approach seeks to engage the indigenous communities offering them equal decision-making power to transform the healthcare service to best suit their needs as informed by their cultural heritage.  With intense mobilization, dialogue and practical initiatives to re-develop access to primary care, indigenous communities can ultimately feel the impact of the human rights-based model.</w:t>
      </w:r>
      <w:r w:rsidR="008815C3" w:rsidRPr="00DF1DEF">
        <w:rPr>
          <w:rFonts w:ascii="Times New Roman" w:hAnsi="Times New Roman" w:cs="Times New Roman"/>
          <w:color w:val="000000" w:themeColor="text1"/>
        </w:rPr>
        <w:t xml:space="preserve"> </w:t>
      </w:r>
    </w:p>
    <w:p w14:paraId="5F288125" w14:textId="77777777" w:rsidR="008815C3" w:rsidRPr="00DF1DEF" w:rsidRDefault="008815C3" w:rsidP="00DF1DEF">
      <w:pPr>
        <w:spacing w:line="480" w:lineRule="auto"/>
        <w:rPr>
          <w:rFonts w:ascii="Times New Roman" w:hAnsi="Times New Roman" w:cs="Times New Roman"/>
          <w:color w:val="000000" w:themeColor="text1"/>
        </w:rPr>
      </w:pPr>
    </w:p>
    <w:p w14:paraId="625FE7C3" w14:textId="77777777" w:rsidR="00E75D62" w:rsidRPr="00DF1DEF" w:rsidRDefault="00E75D62" w:rsidP="00DF1DEF">
      <w:pPr>
        <w:spacing w:line="480" w:lineRule="auto"/>
        <w:jc w:val="center"/>
        <w:rPr>
          <w:rFonts w:ascii="Times New Roman" w:hAnsi="Times New Roman" w:cs="Times New Roman"/>
          <w:b/>
          <w:color w:val="000000" w:themeColor="text1"/>
        </w:rPr>
      </w:pPr>
    </w:p>
    <w:p w14:paraId="144B179B" w14:textId="77777777" w:rsidR="00E75D62" w:rsidRPr="00DF1DEF" w:rsidRDefault="00E75D62" w:rsidP="00DF1DEF">
      <w:pPr>
        <w:spacing w:line="480" w:lineRule="auto"/>
        <w:jc w:val="center"/>
        <w:rPr>
          <w:rFonts w:ascii="Times New Roman" w:hAnsi="Times New Roman" w:cs="Times New Roman"/>
          <w:b/>
          <w:color w:val="000000" w:themeColor="text1"/>
        </w:rPr>
      </w:pPr>
    </w:p>
    <w:p w14:paraId="1FD56123" w14:textId="77777777" w:rsidR="00E75D62" w:rsidRPr="00DF1DEF" w:rsidRDefault="00E75D62" w:rsidP="00DF1DEF">
      <w:pPr>
        <w:spacing w:line="480" w:lineRule="auto"/>
        <w:jc w:val="center"/>
        <w:rPr>
          <w:rFonts w:ascii="Times New Roman" w:hAnsi="Times New Roman" w:cs="Times New Roman"/>
          <w:b/>
          <w:color w:val="000000" w:themeColor="text1"/>
        </w:rPr>
      </w:pPr>
    </w:p>
    <w:p w14:paraId="57FC4EA9" w14:textId="77777777" w:rsidR="00E75D62" w:rsidRPr="00DF1DEF" w:rsidRDefault="00E75D62" w:rsidP="00DF1DEF">
      <w:pPr>
        <w:spacing w:line="480" w:lineRule="auto"/>
        <w:jc w:val="center"/>
        <w:rPr>
          <w:rFonts w:ascii="Times New Roman" w:hAnsi="Times New Roman" w:cs="Times New Roman"/>
          <w:b/>
          <w:color w:val="000000" w:themeColor="text1"/>
        </w:rPr>
      </w:pPr>
    </w:p>
    <w:p w14:paraId="05628629" w14:textId="77777777" w:rsidR="00E75D62" w:rsidRPr="00DF1DEF" w:rsidRDefault="00E75D62" w:rsidP="00DF1DEF">
      <w:pPr>
        <w:spacing w:line="480" w:lineRule="auto"/>
        <w:jc w:val="center"/>
        <w:rPr>
          <w:rFonts w:ascii="Times New Roman" w:hAnsi="Times New Roman" w:cs="Times New Roman"/>
          <w:b/>
          <w:color w:val="000000" w:themeColor="text1"/>
        </w:rPr>
      </w:pPr>
    </w:p>
    <w:p w14:paraId="2FC1816D" w14:textId="77777777" w:rsidR="00E75D62" w:rsidRPr="00DF1DEF" w:rsidRDefault="00E75D62" w:rsidP="00DF1DEF">
      <w:pPr>
        <w:spacing w:line="480" w:lineRule="auto"/>
        <w:jc w:val="center"/>
        <w:rPr>
          <w:rFonts w:ascii="Times New Roman" w:hAnsi="Times New Roman" w:cs="Times New Roman"/>
          <w:b/>
          <w:color w:val="000000" w:themeColor="text1"/>
        </w:rPr>
      </w:pPr>
    </w:p>
    <w:p w14:paraId="2D8F04B8" w14:textId="77777777" w:rsidR="00E75D62" w:rsidRPr="00DF1DEF" w:rsidRDefault="00E75D62" w:rsidP="00DF1DEF">
      <w:pPr>
        <w:spacing w:line="480" w:lineRule="auto"/>
        <w:jc w:val="center"/>
        <w:rPr>
          <w:rFonts w:ascii="Times New Roman" w:hAnsi="Times New Roman" w:cs="Times New Roman"/>
          <w:b/>
          <w:color w:val="000000" w:themeColor="text1"/>
        </w:rPr>
      </w:pPr>
    </w:p>
    <w:p w14:paraId="62B4E3AE" w14:textId="77777777" w:rsidR="00E75D62" w:rsidRPr="00DF1DEF" w:rsidRDefault="00E75D62" w:rsidP="00DF1DEF">
      <w:pPr>
        <w:spacing w:line="480" w:lineRule="auto"/>
        <w:jc w:val="center"/>
        <w:rPr>
          <w:rFonts w:ascii="Times New Roman" w:hAnsi="Times New Roman" w:cs="Times New Roman"/>
          <w:b/>
          <w:color w:val="000000" w:themeColor="text1"/>
        </w:rPr>
      </w:pPr>
    </w:p>
    <w:p w14:paraId="508F6613" w14:textId="77777777" w:rsidR="00E75D62" w:rsidRPr="00DF1DEF" w:rsidRDefault="00E75D62" w:rsidP="00DF1DEF">
      <w:pPr>
        <w:spacing w:line="480" w:lineRule="auto"/>
        <w:jc w:val="center"/>
        <w:rPr>
          <w:rFonts w:ascii="Times New Roman" w:hAnsi="Times New Roman" w:cs="Times New Roman"/>
          <w:b/>
          <w:color w:val="000000" w:themeColor="text1"/>
        </w:rPr>
      </w:pPr>
    </w:p>
    <w:p w14:paraId="284BB4E8" w14:textId="77777777" w:rsidR="00E75D62" w:rsidRPr="00DF1DEF" w:rsidRDefault="00E75D62" w:rsidP="00DF1DEF">
      <w:pPr>
        <w:spacing w:line="480" w:lineRule="auto"/>
        <w:jc w:val="center"/>
        <w:rPr>
          <w:rFonts w:ascii="Times New Roman" w:hAnsi="Times New Roman" w:cs="Times New Roman"/>
          <w:b/>
          <w:color w:val="000000" w:themeColor="text1"/>
        </w:rPr>
      </w:pPr>
    </w:p>
    <w:p w14:paraId="0A2D460E" w14:textId="3EC504E1" w:rsidR="008815C3" w:rsidRPr="00DF1DEF" w:rsidRDefault="007B5F71" w:rsidP="00DF1DEF">
      <w:pPr>
        <w:spacing w:line="480" w:lineRule="auto"/>
        <w:jc w:val="center"/>
        <w:rPr>
          <w:rFonts w:ascii="Times New Roman" w:hAnsi="Times New Roman" w:cs="Times New Roman"/>
          <w:b/>
          <w:color w:val="000000" w:themeColor="text1"/>
        </w:rPr>
      </w:pPr>
      <w:r w:rsidRPr="00DF1DEF">
        <w:rPr>
          <w:rFonts w:ascii="Times New Roman" w:hAnsi="Times New Roman" w:cs="Times New Roman"/>
          <w:b/>
          <w:color w:val="000000" w:themeColor="text1"/>
        </w:rPr>
        <w:lastRenderedPageBreak/>
        <w:t>References</w:t>
      </w:r>
    </w:p>
    <w:p w14:paraId="55106143" w14:textId="374BE24B" w:rsidR="00583CD4" w:rsidRPr="00DF1DEF" w:rsidRDefault="00583CD4"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Australian Human Rights Commission (2008). Achieving Aboriginal and Torres Strait Islander health equality within a generation - A human rights based approach. </w:t>
      </w:r>
      <w:r w:rsidR="00780D47">
        <w:rPr>
          <w:rFonts w:ascii="Times New Roman" w:hAnsi="Times New Roman" w:cs="Times New Roman"/>
          <w:i/>
          <w:color w:val="000000" w:themeColor="text1"/>
        </w:rPr>
        <w:t>Insights</w:t>
      </w:r>
      <w:r w:rsidRPr="00DF1DEF">
        <w:rPr>
          <w:rFonts w:ascii="Times New Roman" w:hAnsi="Times New Roman" w:cs="Times New Roman"/>
          <w:i/>
          <w:color w:val="000000" w:themeColor="text1"/>
        </w:rPr>
        <w:t xml:space="preserve"> </w:t>
      </w:r>
      <w:r w:rsidR="00780D47">
        <w:rPr>
          <w:rFonts w:ascii="Times New Roman" w:hAnsi="Times New Roman" w:cs="Times New Roman"/>
          <w:i/>
          <w:color w:val="000000" w:themeColor="text1"/>
        </w:rPr>
        <w:t xml:space="preserve">from the </w:t>
      </w:r>
      <w:bookmarkStart w:id="0" w:name="_GoBack"/>
      <w:bookmarkEnd w:id="0"/>
      <w:r w:rsidRPr="00DF1DEF">
        <w:rPr>
          <w:rFonts w:ascii="Times New Roman" w:hAnsi="Times New Roman" w:cs="Times New Roman"/>
          <w:i/>
          <w:color w:val="000000" w:themeColor="text1"/>
        </w:rPr>
        <w:t>2005 Social Justice Report</w:t>
      </w:r>
      <w:r w:rsidRPr="00DF1DEF">
        <w:rPr>
          <w:rFonts w:ascii="Times New Roman" w:hAnsi="Times New Roman" w:cs="Times New Roman"/>
          <w:i/>
          <w:color w:val="000000" w:themeColor="text1"/>
        </w:rPr>
        <w:t>.</w:t>
      </w:r>
      <w:r w:rsidRPr="00DF1DEF">
        <w:rPr>
          <w:rFonts w:ascii="Times New Roman" w:hAnsi="Times New Roman" w:cs="Times New Roman"/>
          <w:color w:val="000000" w:themeColor="text1"/>
        </w:rPr>
        <w:t xml:space="preserve"> Pp. 1-</w:t>
      </w:r>
      <w:r w:rsidR="006B3DB7" w:rsidRPr="00DF1DEF">
        <w:rPr>
          <w:rFonts w:ascii="Times New Roman" w:hAnsi="Times New Roman" w:cs="Times New Roman"/>
          <w:color w:val="000000" w:themeColor="text1"/>
        </w:rPr>
        <w:t xml:space="preserve">49. </w:t>
      </w:r>
      <w:r w:rsidRPr="00DF1DEF">
        <w:rPr>
          <w:rFonts w:ascii="Times New Roman" w:hAnsi="Times New Roman" w:cs="Times New Roman"/>
          <w:color w:val="000000" w:themeColor="text1"/>
        </w:rPr>
        <w:t>Retrieved on 17 February 2021 from</w:t>
      </w:r>
      <w:r w:rsidRPr="00DF1DEF">
        <w:rPr>
          <w:rFonts w:ascii="Times New Roman" w:hAnsi="Times New Roman" w:cs="Times New Roman"/>
          <w:color w:val="000000" w:themeColor="text1"/>
        </w:rPr>
        <w:t xml:space="preserve"> </w:t>
      </w:r>
      <w:hyperlink r:id="rId7" w:history="1">
        <w:r w:rsidRPr="00DF1DEF">
          <w:rPr>
            <w:rStyle w:val="Hyperlink"/>
            <w:rFonts w:ascii="Times New Roman" w:hAnsi="Times New Roman" w:cs="Times New Roman"/>
            <w:color w:val="000000" w:themeColor="text1"/>
            <w:u w:val="none"/>
          </w:rPr>
          <w:t>https://humanrights.gov.au/our-work/publications/achieving-aboriginal-and-torres-strait-islander-health-equality-within</w:t>
        </w:r>
      </w:hyperlink>
      <w:r w:rsidRPr="00DF1DEF">
        <w:rPr>
          <w:rFonts w:ascii="Times New Roman" w:hAnsi="Times New Roman" w:cs="Times New Roman"/>
          <w:color w:val="000000" w:themeColor="text1"/>
        </w:rPr>
        <w:t xml:space="preserve"> </w:t>
      </w:r>
    </w:p>
    <w:p w14:paraId="3B596925" w14:textId="7195BF17" w:rsidR="008815C3" w:rsidRPr="00DF1DEF" w:rsidRDefault="00023666"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Bonson, J. (2021). Health literacy among young Aboriginal and Torres Strait Islander males in the Northern Territory. </w:t>
      </w:r>
      <w:r w:rsidRPr="00DF1DEF">
        <w:rPr>
          <w:rFonts w:ascii="Times New Roman" w:hAnsi="Times New Roman" w:cs="Times New Roman"/>
          <w:i/>
          <w:color w:val="000000" w:themeColor="text1"/>
        </w:rPr>
        <w:t xml:space="preserve">Lowitja </w:t>
      </w:r>
      <w:r w:rsidR="007B5F71" w:rsidRPr="00DF1DEF">
        <w:rPr>
          <w:rFonts w:ascii="Times New Roman" w:hAnsi="Times New Roman" w:cs="Times New Roman"/>
          <w:i/>
          <w:color w:val="000000" w:themeColor="text1"/>
        </w:rPr>
        <w:t>Institute R</w:t>
      </w:r>
      <w:r w:rsidRPr="00DF1DEF">
        <w:rPr>
          <w:rFonts w:ascii="Times New Roman" w:hAnsi="Times New Roman" w:cs="Times New Roman"/>
          <w:i/>
          <w:color w:val="000000" w:themeColor="text1"/>
        </w:rPr>
        <w:t>eport</w:t>
      </w:r>
      <w:r w:rsidRPr="00DF1DEF">
        <w:rPr>
          <w:rFonts w:ascii="Times New Roman" w:hAnsi="Times New Roman" w:cs="Times New Roman"/>
          <w:color w:val="000000" w:themeColor="text1"/>
        </w:rPr>
        <w:t xml:space="preserve">. Retrieved on 17 February 2021 from </w:t>
      </w:r>
      <w:hyperlink r:id="rId8" w:history="1">
        <w:r w:rsidRPr="00DF1DEF">
          <w:rPr>
            <w:rStyle w:val="Hyperlink"/>
            <w:rFonts w:ascii="Times New Roman" w:hAnsi="Times New Roman" w:cs="Times New Roman"/>
            <w:color w:val="000000" w:themeColor="text1"/>
            <w:u w:val="none"/>
          </w:rPr>
          <w:t>https://www.lowitja.org.au/page/research/research-categories/cultural-and-social-determinants/culture-for-health-and-wellbeing/projects/health-literacy-among-young-aboriginal-and-torres-strait-islander-males-in-the-northern-territory</w:t>
        </w:r>
      </w:hyperlink>
    </w:p>
    <w:p w14:paraId="1D7AD4E5" w14:textId="3D57AB55" w:rsidR="001B6B5A" w:rsidRPr="00DF1DEF" w:rsidRDefault="001B6B5A"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Calma, T. (2009</w:t>
      </w:r>
      <w:r w:rsidR="00583CD4" w:rsidRPr="00DF1DEF">
        <w:rPr>
          <w:rFonts w:ascii="Times New Roman" w:hAnsi="Times New Roman" w:cs="Times New Roman"/>
          <w:color w:val="000000" w:themeColor="text1"/>
        </w:rPr>
        <w:t>a</w:t>
      </w:r>
      <w:r w:rsidRPr="00DF1DEF">
        <w:rPr>
          <w:rFonts w:ascii="Times New Roman" w:hAnsi="Times New Roman" w:cs="Times New Roman"/>
          <w:color w:val="000000" w:themeColor="text1"/>
        </w:rPr>
        <w:t xml:space="preserve">). Indigenous health is a matter of human rights. </w:t>
      </w:r>
      <w:r w:rsidRPr="00DF1DEF">
        <w:rPr>
          <w:rFonts w:ascii="Times New Roman" w:hAnsi="Times New Roman" w:cs="Times New Roman"/>
          <w:i/>
          <w:color w:val="000000" w:themeColor="text1"/>
        </w:rPr>
        <w:t xml:space="preserve">The Sydney </w:t>
      </w:r>
      <w:r w:rsidR="007B5F71" w:rsidRPr="00DF1DEF">
        <w:rPr>
          <w:rFonts w:ascii="Times New Roman" w:hAnsi="Times New Roman" w:cs="Times New Roman"/>
          <w:i/>
          <w:color w:val="000000" w:themeColor="text1"/>
        </w:rPr>
        <w:t>Morning</w:t>
      </w:r>
      <w:r w:rsidRPr="00DF1DEF">
        <w:rPr>
          <w:rFonts w:ascii="Times New Roman" w:hAnsi="Times New Roman" w:cs="Times New Roman"/>
          <w:i/>
          <w:color w:val="000000" w:themeColor="text1"/>
        </w:rPr>
        <w:t xml:space="preserve"> </w:t>
      </w:r>
      <w:r w:rsidR="007B5F71" w:rsidRPr="00DF1DEF">
        <w:rPr>
          <w:rFonts w:ascii="Times New Roman" w:hAnsi="Times New Roman" w:cs="Times New Roman"/>
          <w:i/>
          <w:color w:val="000000" w:themeColor="text1"/>
        </w:rPr>
        <w:t>Herald</w:t>
      </w:r>
      <w:r w:rsidRPr="00DF1DEF">
        <w:rPr>
          <w:rFonts w:ascii="Times New Roman" w:hAnsi="Times New Roman" w:cs="Times New Roman"/>
          <w:color w:val="000000" w:themeColor="text1"/>
        </w:rPr>
        <w:t>. Retrieved on 17 February 2021 from https://www.smh.com.au/politics/federal/indigenous-health-is-a-matter-of-human-rights-20091027-higk.html</w:t>
      </w:r>
    </w:p>
    <w:p w14:paraId="009EB7D1" w14:textId="77777777" w:rsidR="00583CD4" w:rsidRPr="00DF1DEF" w:rsidRDefault="00583CD4"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Calma, T. (2009b). A Human Rights Based Approach to Social and Emotional Wellbeing. </w:t>
      </w:r>
      <w:r w:rsidRPr="00DF1DEF">
        <w:rPr>
          <w:rFonts w:ascii="Times New Roman" w:hAnsi="Times New Roman" w:cs="Times New Roman"/>
          <w:i/>
          <w:color w:val="000000" w:themeColor="text1"/>
        </w:rPr>
        <w:t>Australas Psychiatry</w:t>
      </w:r>
      <w:r w:rsidRPr="00DF1DEF">
        <w:rPr>
          <w:rFonts w:ascii="Times New Roman" w:hAnsi="Times New Roman" w:cs="Times New Roman"/>
          <w:i/>
          <w:color w:val="000000" w:themeColor="text1"/>
        </w:rPr>
        <w:t>, 17</w:t>
      </w:r>
      <w:r w:rsidRPr="00DF1DEF">
        <w:rPr>
          <w:rFonts w:ascii="Times New Roman" w:hAnsi="Times New Roman" w:cs="Times New Roman"/>
          <w:color w:val="000000" w:themeColor="text1"/>
        </w:rPr>
        <w:t xml:space="preserve"> (15), 1-7 </w:t>
      </w:r>
      <w:r w:rsidRPr="00DF1DEF">
        <w:rPr>
          <w:rFonts w:ascii="Times New Roman" w:hAnsi="Times New Roman" w:cs="Times New Roman"/>
          <w:color w:val="000000" w:themeColor="text1"/>
        </w:rPr>
        <w:t>DOI: 10.1080/10398560902948613</w:t>
      </w:r>
    </w:p>
    <w:p w14:paraId="4B85983F" w14:textId="6E9F2BE8" w:rsidR="006B3DB7" w:rsidRPr="00DF1DEF" w:rsidRDefault="006B3DB7"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Durey, A., McEvoy, S., Swift-Otero, V., Taylor, K., Katzenellenbogen, J., &amp; Bessarab, D. (2016). Improving healthcare for Aboriginal Australians through effective engagement between community and health services. </w:t>
      </w:r>
      <w:r w:rsidRPr="00DF1DEF">
        <w:rPr>
          <w:rFonts w:ascii="Times New Roman" w:hAnsi="Times New Roman" w:cs="Times New Roman"/>
          <w:i/>
          <w:iCs/>
          <w:color w:val="000000" w:themeColor="text1"/>
        </w:rPr>
        <w:t>BMC health services research</w:t>
      </w:r>
      <w:r w:rsidRPr="00DF1DEF">
        <w:rPr>
          <w:rFonts w:ascii="Times New Roman" w:hAnsi="Times New Roman" w:cs="Times New Roman"/>
          <w:color w:val="000000" w:themeColor="text1"/>
        </w:rPr>
        <w:t xml:space="preserve">, </w:t>
      </w:r>
      <w:r w:rsidRPr="00DF1DEF">
        <w:rPr>
          <w:rFonts w:ascii="Times New Roman" w:hAnsi="Times New Roman" w:cs="Times New Roman"/>
          <w:i/>
          <w:iCs/>
          <w:color w:val="000000" w:themeColor="text1"/>
        </w:rPr>
        <w:t>16</w:t>
      </w:r>
      <w:r w:rsidRPr="00DF1DEF">
        <w:rPr>
          <w:rFonts w:ascii="Times New Roman" w:hAnsi="Times New Roman" w:cs="Times New Roman"/>
          <w:color w:val="000000" w:themeColor="text1"/>
        </w:rPr>
        <w:t>, 224</w:t>
      </w:r>
      <w:r w:rsidR="007B5F71" w:rsidRPr="00DF1DEF">
        <w:rPr>
          <w:rFonts w:ascii="Times New Roman" w:hAnsi="Times New Roman" w:cs="Times New Roman"/>
          <w:color w:val="000000" w:themeColor="text1"/>
        </w:rPr>
        <w:t xml:space="preserve">-259. Doi: </w:t>
      </w:r>
      <w:r w:rsidRPr="00DF1DEF">
        <w:rPr>
          <w:rFonts w:ascii="Times New Roman" w:hAnsi="Times New Roman" w:cs="Times New Roman"/>
          <w:color w:val="000000" w:themeColor="text1"/>
        </w:rPr>
        <w:t>10.1186/s12913-016-1497-0</w:t>
      </w:r>
    </w:p>
    <w:p w14:paraId="00C93E2D" w14:textId="77F76658" w:rsidR="005C4EC1" w:rsidRPr="00DF1DEF" w:rsidRDefault="005C4EC1"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lastRenderedPageBreak/>
        <w:t xml:space="preserve">Gray, N., &amp; Bailie, R. (2006). Can human rights discourse improve the health of Indigenous Australians? </w:t>
      </w:r>
      <w:r w:rsidRPr="00DF1DEF">
        <w:rPr>
          <w:rFonts w:ascii="Times New Roman" w:hAnsi="Times New Roman" w:cs="Times New Roman"/>
          <w:i/>
          <w:color w:val="000000" w:themeColor="text1"/>
        </w:rPr>
        <w:t>Australian and New Zealand Journal of Public Health, 30</w:t>
      </w:r>
      <w:r w:rsidRPr="00DF1DEF">
        <w:rPr>
          <w:rFonts w:ascii="Times New Roman" w:hAnsi="Times New Roman" w:cs="Times New Roman"/>
          <w:color w:val="000000" w:themeColor="text1"/>
        </w:rPr>
        <w:t xml:space="preserve">(5), 448–452. </w:t>
      </w:r>
      <w:r w:rsidR="009023A2" w:rsidRPr="00DF1DEF">
        <w:rPr>
          <w:rFonts w:ascii="Times New Roman" w:hAnsi="Times New Roman" w:cs="Times New Roman"/>
          <w:color w:val="000000" w:themeColor="text1"/>
        </w:rPr>
        <w:t>D</w:t>
      </w:r>
      <w:r w:rsidRPr="00DF1DEF">
        <w:rPr>
          <w:rFonts w:ascii="Times New Roman" w:hAnsi="Times New Roman" w:cs="Times New Roman"/>
          <w:color w:val="000000" w:themeColor="text1"/>
        </w:rPr>
        <w:t xml:space="preserve">oi:10.1111/j.1467-842x.2006.tb00462.x </w:t>
      </w:r>
    </w:p>
    <w:p w14:paraId="63A42AA1" w14:textId="4AED943B" w:rsidR="00CF169B" w:rsidRPr="00DF1DEF" w:rsidRDefault="00CF169B"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Gottlieb K. (2013). The Nuka System of Care: improving health through ownership and relationships. </w:t>
      </w:r>
      <w:r w:rsidRPr="00DF1DEF">
        <w:rPr>
          <w:rFonts w:ascii="Times New Roman" w:hAnsi="Times New Roman" w:cs="Times New Roman"/>
          <w:i/>
          <w:iCs/>
          <w:color w:val="000000" w:themeColor="text1"/>
        </w:rPr>
        <w:t>International journal of circumpolar health</w:t>
      </w:r>
      <w:r w:rsidRPr="00DF1DEF">
        <w:rPr>
          <w:rFonts w:ascii="Times New Roman" w:hAnsi="Times New Roman" w:cs="Times New Roman"/>
          <w:color w:val="000000" w:themeColor="text1"/>
        </w:rPr>
        <w:t xml:space="preserve">, </w:t>
      </w:r>
      <w:r w:rsidRPr="00DF1DEF">
        <w:rPr>
          <w:rFonts w:ascii="Times New Roman" w:hAnsi="Times New Roman" w:cs="Times New Roman"/>
          <w:i/>
          <w:iCs/>
          <w:color w:val="000000" w:themeColor="text1"/>
        </w:rPr>
        <w:t>72</w:t>
      </w:r>
      <w:r w:rsidR="009023A2" w:rsidRPr="00DF1DEF">
        <w:rPr>
          <w:rFonts w:ascii="Times New Roman" w:hAnsi="Times New Roman" w:cs="Times New Roman"/>
          <w:color w:val="000000" w:themeColor="text1"/>
        </w:rPr>
        <w:t xml:space="preserve"> (1), 2118-21134 Doi:</w:t>
      </w:r>
      <w:r w:rsidRPr="00DF1DEF">
        <w:rPr>
          <w:rFonts w:ascii="Times New Roman" w:hAnsi="Times New Roman" w:cs="Times New Roman"/>
          <w:color w:val="000000" w:themeColor="text1"/>
        </w:rPr>
        <w:t xml:space="preserve">10.3402/ijch.v72i0.21118. </w:t>
      </w:r>
    </w:p>
    <w:p w14:paraId="1DD796F0" w14:textId="1342C8EE" w:rsidR="00023666" w:rsidRPr="00DF1DEF" w:rsidRDefault="00EA300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Harfield, S.G., Davy, C., McArthur, A. </w:t>
      </w:r>
      <w:r w:rsidRPr="00DF1DEF">
        <w:rPr>
          <w:rFonts w:ascii="Times New Roman" w:hAnsi="Times New Roman" w:cs="Times New Roman"/>
          <w:i/>
          <w:iCs/>
          <w:color w:val="000000" w:themeColor="text1"/>
        </w:rPr>
        <w:t>et al.</w:t>
      </w:r>
      <w:r w:rsidRPr="00DF1DEF">
        <w:rPr>
          <w:rFonts w:ascii="Times New Roman" w:hAnsi="Times New Roman" w:cs="Times New Roman"/>
          <w:color w:val="000000" w:themeColor="text1"/>
        </w:rPr>
        <w:t xml:space="preserve"> </w:t>
      </w:r>
      <w:r w:rsidR="00257AC2" w:rsidRPr="00DF1DEF">
        <w:rPr>
          <w:rFonts w:ascii="Times New Roman" w:hAnsi="Times New Roman" w:cs="Times New Roman"/>
          <w:color w:val="000000" w:themeColor="text1"/>
        </w:rPr>
        <w:t xml:space="preserve">(2018). </w:t>
      </w:r>
      <w:r w:rsidRPr="00DF1DEF">
        <w:rPr>
          <w:rFonts w:ascii="Times New Roman" w:hAnsi="Times New Roman" w:cs="Times New Roman"/>
          <w:color w:val="000000" w:themeColor="text1"/>
        </w:rPr>
        <w:t>Characteristics of Indigenous primary health</w:t>
      </w:r>
      <w:r w:rsidR="000F6588" w:rsidRPr="00DF1DEF">
        <w:rPr>
          <w:rFonts w:ascii="Times New Roman" w:hAnsi="Times New Roman" w:cs="Times New Roman"/>
          <w:color w:val="000000" w:themeColor="text1"/>
        </w:rPr>
        <w:t xml:space="preserve"> care service delivery models: A S</w:t>
      </w:r>
      <w:r w:rsidRPr="00DF1DEF">
        <w:rPr>
          <w:rFonts w:ascii="Times New Roman" w:hAnsi="Times New Roman" w:cs="Times New Roman"/>
          <w:color w:val="000000" w:themeColor="text1"/>
        </w:rPr>
        <w:t xml:space="preserve">ystematic scoping review. </w:t>
      </w:r>
      <w:r w:rsidRPr="00DF1DEF">
        <w:rPr>
          <w:rFonts w:ascii="Times New Roman" w:hAnsi="Times New Roman" w:cs="Times New Roman"/>
          <w:i/>
          <w:iCs/>
          <w:color w:val="000000" w:themeColor="text1"/>
        </w:rPr>
        <w:t>Global Health</w:t>
      </w:r>
      <w:r w:rsidR="00257AC2" w:rsidRPr="00DF1DEF">
        <w:rPr>
          <w:rFonts w:ascii="Times New Roman" w:hAnsi="Times New Roman" w:cs="Times New Roman"/>
          <w:i/>
          <w:iCs/>
          <w:color w:val="000000" w:themeColor="text1"/>
        </w:rPr>
        <w:t>,</w:t>
      </w:r>
      <w:r w:rsidRPr="00DF1DEF">
        <w:rPr>
          <w:rFonts w:ascii="Times New Roman" w:hAnsi="Times New Roman" w:cs="Times New Roman"/>
          <w:color w:val="000000" w:themeColor="text1"/>
        </w:rPr>
        <w:t xml:space="preserve"> </w:t>
      </w:r>
      <w:r w:rsidRPr="00DF1DEF">
        <w:rPr>
          <w:rFonts w:ascii="Times New Roman" w:hAnsi="Times New Roman" w:cs="Times New Roman"/>
          <w:bCs/>
          <w:color w:val="000000" w:themeColor="text1"/>
        </w:rPr>
        <w:t>14</w:t>
      </w:r>
      <w:r w:rsidRPr="00DF1DEF">
        <w:rPr>
          <w:rFonts w:ascii="Times New Roman" w:hAnsi="Times New Roman" w:cs="Times New Roman"/>
          <w:b/>
          <w:bCs/>
          <w:color w:val="000000" w:themeColor="text1"/>
        </w:rPr>
        <w:t xml:space="preserve">, </w:t>
      </w:r>
      <w:r w:rsidRPr="00DF1DEF">
        <w:rPr>
          <w:rFonts w:ascii="Times New Roman" w:hAnsi="Times New Roman" w:cs="Times New Roman"/>
          <w:color w:val="000000" w:themeColor="text1"/>
        </w:rPr>
        <w:t>12</w:t>
      </w:r>
      <w:r w:rsidR="00257AC2" w:rsidRPr="00DF1DEF">
        <w:rPr>
          <w:rFonts w:ascii="Times New Roman" w:hAnsi="Times New Roman" w:cs="Times New Roman"/>
          <w:color w:val="000000" w:themeColor="text1"/>
        </w:rPr>
        <w:t>-31</w:t>
      </w:r>
      <w:r w:rsidRPr="00DF1DEF">
        <w:rPr>
          <w:rFonts w:ascii="Times New Roman" w:hAnsi="Times New Roman" w:cs="Times New Roman"/>
          <w:color w:val="000000" w:themeColor="text1"/>
        </w:rPr>
        <w:t xml:space="preserve"> </w:t>
      </w:r>
      <w:r w:rsidR="00257AC2" w:rsidRPr="00DF1DEF">
        <w:rPr>
          <w:rFonts w:ascii="Times New Roman" w:hAnsi="Times New Roman" w:cs="Times New Roman"/>
          <w:color w:val="000000" w:themeColor="text1"/>
        </w:rPr>
        <w:t xml:space="preserve">Doi: </w:t>
      </w:r>
      <w:r w:rsidR="009023A2" w:rsidRPr="00DF1DEF">
        <w:rPr>
          <w:rFonts w:ascii="Times New Roman" w:hAnsi="Times New Roman" w:cs="Times New Roman"/>
          <w:color w:val="000000" w:themeColor="text1"/>
        </w:rPr>
        <w:t>10.1186/s12992-018-0332-2</w:t>
      </w:r>
    </w:p>
    <w:p w14:paraId="4EF96D02" w14:textId="627F65AC" w:rsidR="00F22DC0" w:rsidRPr="00DF1DEF" w:rsidRDefault="007B5F71"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Kings Fund</w:t>
      </w:r>
      <w:r w:rsidR="00F22DC0" w:rsidRPr="00DF1DEF">
        <w:rPr>
          <w:rFonts w:ascii="Times New Roman" w:hAnsi="Times New Roman" w:cs="Times New Roman"/>
          <w:color w:val="000000" w:themeColor="text1"/>
        </w:rPr>
        <w:t xml:space="preserve"> (2021). </w:t>
      </w:r>
      <w:r w:rsidR="00F22DC0" w:rsidRPr="00DF1DEF">
        <w:rPr>
          <w:rFonts w:ascii="Times New Roman" w:hAnsi="Times New Roman" w:cs="Times New Roman"/>
          <w:color w:val="000000" w:themeColor="text1"/>
        </w:rPr>
        <w:t>Nuka System of Care, Alaska</w:t>
      </w:r>
      <w:r w:rsidR="00F22DC0" w:rsidRPr="00DF1DEF">
        <w:rPr>
          <w:rFonts w:ascii="Times New Roman" w:hAnsi="Times New Roman" w:cs="Times New Roman"/>
          <w:color w:val="000000" w:themeColor="text1"/>
        </w:rPr>
        <w:t xml:space="preserve">. </w:t>
      </w:r>
      <w:r w:rsidR="00F22DC0" w:rsidRPr="00DF1DEF">
        <w:rPr>
          <w:rFonts w:ascii="Times New Roman" w:hAnsi="Times New Roman" w:cs="Times New Roman"/>
          <w:color w:val="000000" w:themeColor="text1"/>
        </w:rPr>
        <w:t>Retrieved on 17 February 2021 from</w:t>
      </w:r>
      <w:r w:rsidR="00F22DC0" w:rsidRPr="00DF1DEF">
        <w:rPr>
          <w:rFonts w:ascii="Times New Roman" w:hAnsi="Times New Roman" w:cs="Times New Roman"/>
          <w:color w:val="000000" w:themeColor="text1"/>
        </w:rPr>
        <w:t>https://www.kingsfund.org.uk/publications/population-health-systems/nuka-system-care-alaska</w:t>
      </w:r>
    </w:p>
    <w:p w14:paraId="1390EF22" w14:textId="023EAA97" w:rsidR="009A6388" w:rsidRPr="00DF1DEF" w:rsidRDefault="009A6388" w:rsidP="00DF1DEF">
      <w:pPr>
        <w:spacing w:line="480" w:lineRule="auto"/>
        <w:ind w:left="1440" w:hanging="1440"/>
        <w:rPr>
          <w:rFonts w:ascii="Times New Roman" w:hAnsi="Times New Roman" w:cs="Times New Roman"/>
          <w:b/>
          <w:color w:val="000000" w:themeColor="text1"/>
        </w:rPr>
      </w:pPr>
      <w:r w:rsidRPr="00DF1DEF">
        <w:rPr>
          <w:rFonts w:ascii="Times New Roman" w:hAnsi="Times New Roman" w:cs="Times New Roman"/>
          <w:color w:val="000000" w:themeColor="text1"/>
        </w:rPr>
        <w:t xml:space="preserve">Li, J. (2017). Cultural barriers lead to inequitable healthcare access for aboriginal Australians and Torres Strait Islanders. </w:t>
      </w:r>
      <w:r w:rsidRPr="00DF1DEF">
        <w:rPr>
          <w:rFonts w:ascii="Times New Roman" w:hAnsi="Times New Roman" w:cs="Times New Roman"/>
          <w:i/>
          <w:color w:val="000000" w:themeColor="text1"/>
        </w:rPr>
        <w:t>Chinese Nursing Research</w:t>
      </w:r>
      <w:r w:rsidRPr="00DF1DEF">
        <w:rPr>
          <w:rFonts w:ascii="Times New Roman" w:hAnsi="Times New Roman" w:cs="Times New Roman"/>
          <w:i/>
          <w:color w:val="000000" w:themeColor="text1"/>
        </w:rPr>
        <w:t xml:space="preserve">, 4 </w:t>
      </w:r>
      <w:r w:rsidRPr="00DF1DEF">
        <w:rPr>
          <w:rFonts w:ascii="Times New Roman" w:hAnsi="Times New Roman" w:cs="Times New Roman"/>
          <w:color w:val="000000" w:themeColor="text1"/>
        </w:rPr>
        <w:t xml:space="preserve">(4), </w:t>
      </w:r>
      <w:r w:rsidRPr="00DF1DEF">
        <w:rPr>
          <w:rFonts w:ascii="Times New Roman" w:hAnsi="Times New Roman" w:cs="Times New Roman"/>
          <w:color w:val="000000" w:themeColor="text1"/>
        </w:rPr>
        <w:t>207-210</w:t>
      </w:r>
      <w:r w:rsidRPr="00DF1DEF">
        <w:rPr>
          <w:rFonts w:ascii="Times New Roman" w:hAnsi="Times New Roman" w:cs="Times New Roman"/>
          <w:color w:val="000000" w:themeColor="text1"/>
        </w:rPr>
        <w:t xml:space="preserve"> Doi: </w:t>
      </w:r>
      <w:hyperlink r:id="rId9" w:tgtFrame="_blank" w:tooltip="Persistent link using digital object identifier" w:history="1">
        <w:r w:rsidRPr="00DF1DEF">
          <w:rPr>
            <w:rStyle w:val="Hyperlink"/>
            <w:rFonts w:ascii="Times New Roman" w:hAnsi="Times New Roman" w:cs="Times New Roman"/>
            <w:color w:val="000000" w:themeColor="text1"/>
            <w:u w:val="none"/>
          </w:rPr>
          <w:t>10.1016/j.cnre.2017.10.009</w:t>
        </w:r>
      </w:hyperlink>
    </w:p>
    <w:p w14:paraId="4162B7C7" w14:textId="79E07BDF" w:rsidR="00EA3003" w:rsidRPr="00DF1DEF" w:rsidRDefault="00FE6044"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London, L. (2013). What is a human-rights based approach to health and does it matter? </w:t>
      </w:r>
      <w:r w:rsidRPr="00DF1DEF">
        <w:rPr>
          <w:rFonts w:ascii="Times New Roman" w:hAnsi="Times New Roman" w:cs="Times New Roman"/>
          <w:i/>
          <w:color w:val="000000" w:themeColor="text1"/>
        </w:rPr>
        <w:t>Health and Human Rights Journal, 10</w:t>
      </w:r>
      <w:r w:rsidRPr="00DF1DEF">
        <w:rPr>
          <w:rFonts w:ascii="Times New Roman" w:hAnsi="Times New Roman" w:cs="Times New Roman"/>
          <w:color w:val="000000" w:themeColor="text1"/>
        </w:rPr>
        <w:t xml:space="preserve"> (1), 1-17. </w:t>
      </w:r>
    </w:p>
    <w:p w14:paraId="70237479" w14:textId="2173C150" w:rsidR="008815C3" w:rsidRPr="00DF1DEF" w:rsidRDefault="008815C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Markwick, A., Ansari, Z., Clinch, D. </w:t>
      </w:r>
      <w:r w:rsidRPr="00DF1DEF">
        <w:rPr>
          <w:rFonts w:ascii="Times New Roman" w:hAnsi="Times New Roman" w:cs="Times New Roman"/>
          <w:i/>
          <w:iCs/>
          <w:color w:val="000000" w:themeColor="text1"/>
        </w:rPr>
        <w:t>et al.</w:t>
      </w:r>
      <w:r w:rsidRPr="00DF1DEF">
        <w:rPr>
          <w:rFonts w:ascii="Times New Roman" w:hAnsi="Times New Roman" w:cs="Times New Roman"/>
          <w:color w:val="000000" w:themeColor="text1"/>
        </w:rPr>
        <w:t xml:space="preserve"> </w:t>
      </w:r>
      <w:r w:rsidR="00CE69F7" w:rsidRPr="00DF1DEF">
        <w:rPr>
          <w:rFonts w:ascii="Times New Roman" w:hAnsi="Times New Roman" w:cs="Times New Roman"/>
          <w:color w:val="000000" w:themeColor="text1"/>
        </w:rPr>
        <w:t xml:space="preserve">(2019). </w:t>
      </w:r>
      <w:r w:rsidRPr="00DF1DEF">
        <w:rPr>
          <w:rFonts w:ascii="Times New Roman" w:hAnsi="Times New Roman" w:cs="Times New Roman"/>
          <w:color w:val="000000" w:themeColor="text1"/>
        </w:rPr>
        <w:t xml:space="preserve">Experiences of racism among Aboriginal and Torres Strait Islander adults living in the Australian state of Victoria: a cross-sectional population-based study. </w:t>
      </w:r>
      <w:r w:rsidRPr="00DF1DEF">
        <w:rPr>
          <w:rFonts w:ascii="Times New Roman" w:hAnsi="Times New Roman" w:cs="Times New Roman"/>
          <w:i/>
          <w:iCs/>
          <w:color w:val="000000" w:themeColor="text1"/>
        </w:rPr>
        <w:t>BMC Public Health</w:t>
      </w:r>
      <w:r w:rsidR="00CE69F7" w:rsidRPr="00DF1DEF">
        <w:rPr>
          <w:rFonts w:ascii="Times New Roman" w:hAnsi="Times New Roman" w:cs="Times New Roman"/>
          <w:i/>
          <w:iCs/>
          <w:color w:val="000000" w:themeColor="text1"/>
        </w:rPr>
        <w:t>,</w:t>
      </w:r>
      <w:r w:rsidRPr="00DF1DEF">
        <w:rPr>
          <w:rFonts w:ascii="Times New Roman" w:hAnsi="Times New Roman" w:cs="Times New Roman"/>
          <w:color w:val="000000" w:themeColor="text1"/>
        </w:rPr>
        <w:t xml:space="preserve"> </w:t>
      </w:r>
      <w:r w:rsidRPr="00DF1DEF">
        <w:rPr>
          <w:rFonts w:ascii="Times New Roman" w:hAnsi="Times New Roman" w:cs="Times New Roman"/>
          <w:bCs/>
          <w:color w:val="000000" w:themeColor="text1"/>
        </w:rPr>
        <w:t>19</w:t>
      </w:r>
      <w:r w:rsidRPr="00DF1DEF">
        <w:rPr>
          <w:rFonts w:ascii="Times New Roman" w:hAnsi="Times New Roman" w:cs="Times New Roman"/>
          <w:b/>
          <w:bCs/>
          <w:color w:val="000000" w:themeColor="text1"/>
        </w:rPr>
        <w:t xml:space="preserve">, </w:t>
      </w:r>
      <w:r w:rsidRPr="00DF1DEF">
        <w:rPr>
          <w:rFonts w:ascii="Times New Roman" w:hAnsi="Times New Roman" w:cs="Times New Roman"/>
          <w:color w:val="000000" w:themeColor="text1"/>
        </w:rPr>
        <w:t>309</w:t>
      </w:r>
      <w:r w:rsidR="00CE69F7" w:rsidRPr="00DF1DEF">
        <w:rPr>
          <w:rFonts w:ascii="Times New Roman" w:hAnsi="Times New Roman" w:cs="Times New Roman"/>
          <w:color w:val="000000" w:themeColor="text1"/>
        </w:rPr>
        <w:t>-328 Doi:</w:t>
      </w:r>
      <w:hyperlink r:id="rId10" w:history="1">
        <w:r w:rsidR="00CE69F7" w:rsidRPr="00DF1DEF">
          <w:rPr>
            <w:rStyle w:val="Hyperlink"/>
            <w:rFonts w:ascii="Times New Roman" w:hAnsi="Times New Roman" w:cs="Times New Roman"/>
            <w:color w:val="000000" w:themeColor="text1"/>
            <w:u w:val="none"/>
          </w:rPr>
          <w:t xml:space="preserve"> </w:t>
        </w:r>
        <w:r w:rsidRPr="00DF1DEF">
          <w:rPr>
            <w:rStyle w:val="Hyperlink"/>
            <w:rFonts w:ascii="Times New Roman" w:hAnsi="Times New Roman" w:cs="Times New Roman"/>
            <w:color w:val="000000" w:themeColor="text1"/>
            <w:u w:val="none"/>
          </w:rPr>
          <w:t>10.1186/s12889-019-6614-7</w:t>
        </w:r>
      </w:hyperlink>
    </w:p>
    <w:p w14:paraId="1B384377" w14:textId="398377E2" w:rsidR="008815C3" w:rsidRPr="00DF1DEF" w:rsidRDefault="00E13337"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Nash, S., &amp; Arora, A. (2021). Interventions to improve health literacy among Aboriginal and Torres Strait Islande</w:t>
      </w:r>
      <w:r w:rsidR="00B608EC" w:rsidRPr="00DF1DEF">
        <w:rPr>
          <w:rFonts w:ascii="Times New Roman" w:hAnsi="Times New Roman" w:cs="Times New Roman"/>
          <w:color w:val="000000" w:themeColor="text1"/>
        </w:rPr>
        <w:t>r Peoples: A S</w:t>
      </w:r>
      <w:r w:rsidRPr="00DF1DEF">
        <w:rPr>
          <w:rFonts w:ascii="Times New Roman" w:hAnsi="Times New Roman" w:cs="Times New Roman"/>
          <w:color w:val="000000" w:themeColor="text1"/>
        </w:rPr>
        <w:t xml:space="preserve">ystematic review. </w:t>
      </w:r>
      <w:r w:rsidRPr="00DF1DEF">
        <w:rPr>
          <w:rFonts w:ascii="Times New Roman" w:hAnsi="Times New Roman" w:cs="Times New Roman"/>
          <w:i/>
          <w:iCs/>
          <w:color w:val="000000" w:themeColor="text1"/>
        </w:rPr>
        <w:t>BMC public health</w:t>
      </w:r>
      <w:r w:rsidRPr="00DF1DEF">
        <w:rPr>
          <w:rFonts w:ascii="Times New Roman" w:hAnsi="Times New Roman" w:cs="Times New Roman"/>
          <w:color w:val="000000" w:themeColor="text1"/>
        </w:rPr>
        <w:t xml:space="preserve">, </w:t>
      </w:r>
      <w:r w:rsidRPr="00DF1DEF">
        <w:rPr>
          <w:rFonts w:ascii="Times New Roman" w:hAnsi="Times New Roman" w:cs="Times New Roman"/>
          <w:i/>
          <w:iCs/>
          <w:color w:val="000000" w:themeColor="text1"/>
        </w:rPr>
        <w:t>21</w:t>
      </w:r>
      <w:r w:rsidRPr="00DF1DEF">
        <w:rPr>
          <w:rFonts w:ascii="Times New Roman" w:hAnsi="Times New Roman" w:cs="Times New Roman"/>
          <w:color w:val="000000" w:themeColor="text1"/>
        </w:rPr>
        <w:t xml:space="preserve">(1), 248. </w:t>
      </w:r>
      <w:r w:rsidR="00B608EC" w:rsidRPr="00DF1DEF">
        <w:rPr>
          <w:rFonts w:ascii="Times New Roman" w:hAnsi="Times New Roman" w:cs="Times New Roman"/>
          <w:color w:val="000000" w:themeColor="text1"/>
        </w:rPr>
        <w:t>Doi: 10.1186/s12889-021-10278-x</w:t>
      </w:r>
    </w:p>
    <w:p w14:paraId="5DEA3A80" w14:textId="22B55E89" w:rsidR="007F2B1B" w:rsidRPr="00DF1DEF" w:rsidRDefault="007F2B1B"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lastRenderedPageBreak/>
        <w:t xml:space="preserve">Paradies, Y., Ricci, H., &amp; Ian, A. (2008). </w:t>
      </w:r>
      <w:r w:rsidRPr="00DF1DEF">
        <w:rPr>
          <w:rFonts w:ascii="Times New Roman" w:hAnsi="Times New Roman" w:cs="Times New Roman"/>
          <w:i/>
          <w:color w:val="000000" w:themeColor="text1"/>
        </w:rPr>
        <w:t>The impact of racism on indigenous health in Australia and Aotearoa: towards a research agenda</w:t>
      </w:r>
      <w:r w:rsidRPr="00DF1DEF">
        <w:rPr>
          <w:rFonts w:ascii="Times New Roman" w:hAnsi="Times New Roman" w:cs="Times New Roman"/>
          <w:color w:val="000000" w:themeColor="text1"/>
        </w:rPr>
        <w:t xml:space="preserve">. Casuarina, N. T: </w:t>
      </w:r>
      <w:r w:rsidRPr="00DF1DEF">
        <w:rPr>
          <w:rFonts w:ascii="Times New Roman" w:hAnsi="Times New Roman" w:cs="Times New Roman"/>
          <w:color w:val="000000" w:themeColor="text1"/>
        </w:rPr>
        <w:t>Cooperative Research Centre for Aboriginal Health</w:t>
      </w:r>
      <w:r w:rsidRPr="00DF1DEF">
        <w:rPr>
          <w:rFonts w:ascii="Times New Roman" w:hAnsi="Times New Roman" w:cs="Times New Roman"/>
          <w:color w:val="000000" w:themeColor="text1"/>
        </w:rPr>
        <w:t xml:space="preserve">. </w:t>
      </w:r>
    </w:p>
    <w:p w14:paraId="5042B98A" w14:textId="77777777" w:rsidR="00E13337" w:rsidRPr="00DF1DEF" w:rsidRDefault="00E13337" w:rsidP="00DF1DEF">
      <w:pPr>
        <w:spacing w:line="480" w:lineRule="auto"/>
        <w:ind w:left="1440" w:hanging="1440"/>
        <w:rPr>
          <w:rFonts w:ascii="Times New Roman" w:hAnsi="Times New Roman" w:cs="Times New Roman"/>
          <w:color w:val="000000" w:themeColor="text1"/>
        </w:rPr>
      </w:pPr>
    </w:p>
    <w:p w14:paraId="6D6811A5" w14:textId="647CB040" w:rsidR="004F7A53" w:rsidRPr="00DF1DEF" w:rsidRDefault="004F7A5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Rheault, H., Coyer, F., Jones, L. </w:t>
      </w:r>
      <w:r w:rsidRPr="00DF1DEF">
        <w:rPr>
          <w:rFonts w:ascii="Times New Roman" w:hAnsi="Times New Roman" w:cs="Times New Roman"/>
          <w:i/>
          <w:iCs/>
          <w:color w:val="000000" w:themeColor="text1"/>
        </w:rPr>
        <w:t>et al.</w:t>
      </w:r>
      <w:r w:rsidRPr="00DF1DEF">
        <w:rPr>
          <w:rFonts w:ascii="Times New Roman" w:hAnsi="Times New Roman" w:cs="Times New Roman"/>
          <w:color w:val="000000" w:themeColor="text1"/>
        </w:rPr>
        <w:t xml:space="preserve"> </w:t>
      </w:r>
      <w:r w:rsidR="003A72B0" w:rsidRPr="00DF1DEF">
        <w:rPr>
          <w:rFonts w:ascii="Times New Roman" w:hAnsi="Times New Roman" w:cs="Times New Roman"/>
          <w:color w:val="000000" w:themeColor="text1"/>
        </w:rPr>
        <w:t xml:space="preserve">(2019). </w:t>
      </w:r>
      <w:r w:rsidRPr="00DF1DEF">
        <w:rPr>
          <w:rFonts w:ascii="Times New Roman" w:hAnsi="Times New Roman" w:cs="Times New Roman"/>
          <w:color w:val="000000" w:themeColor="text1"/>
        </w:rPr>
        <w:t xml:space="preserve">Health literacy in Indigenous people with chronic disease living in remote Australia. </w:t>
      </w:r>
      <w:r w:rsidRPr="00DF1DEF">
        <w:rPr>
          <w:rFonts w:ascii="Times New Roman" w:hAnsi="Times New Roman" w:cs="Times New Roman"/>
          <w:i/>
          <w:iCs/>
          <w:color w:val="000000" w:themeColor="text1"/>
        </w:rPr>
        <w:t>BMC Health Serv Res</w:t>
      </w:r>
      <w:r w:rsidRPr="00DF1DEF">
        <w:rPr>
          <w:rFonts w:ascii="Times New Roman" w:hAnsi="Times New Roman" w:cs="Times New Roman"/>
          <w:color w:val="000000" w:themeColor="text1"/>
        </w:rPr>
        <w:t xml:space="preserve"> </w:t>
      </w:r>
      <w:r w:rsidRPr="00DF1DEF">
        <w:rPr>
          <w:rFonts w:ascii="Times New Roman" w:hAnsi="Times New Roman" w:cs="Times New Roman"/>
          <w:bCs/>
          <w:color w:val="000000" w:themeColor="text1"/>
        </w:rPr>
        <w:t>19</w:t>
      </w:r>
      <w:r w:rsidRPr="00DF1DEF">
        <w:rPr>
          <w:rFonts w:ascii="Times New Roman" w:hAnsi="Times New Roman" w:cs="Times New Roman"/>
          <w:b/>
          <w:bCs/>
          <w:color w:val="000000" w:themeColor="text1"/>
        </w:rPr>
        <w:t xml:space="preserve">, </w:t>
      </w:r>
      <w:r w:rsidRPr="00DF1DEF">
        <w:rPr>
          <w:rFonts w:ascii="Times New Roman" w:hAnsi="Times New Roman" w:cs="Times New Roman"/>
          <w:color w:val="000000" w:themeColor="text1"/>
        </w:rPr>
        <w:t>523</w:t>
      </w:r>
      <w:r w:rsidR="003A72B0" w:rsidRPr="00DF1DEF">
        <w:rPr>
          <w:rFonts w:ascii="Times New Roman" w:hAnsi="Times New Roman" w:cs="Times New Roman"/>
          <w:color w:val="000000" w:themeColor="text1"/>
        </w:rPr>
        <w:t>-537</w:t>
      </w:r>
      <w:r w:rsidRPr="00DF1DEF">
        <w:rPr>
          <w:rFonts w:ascii="Times New Roman" w:hAnsi="Times New Roman" w:cs="Times New Roman"/>
          <w:color w:val="000000" w:themeColor="text1"/>
        </w:rPr>
        <w:t xml:space="preserve">. </w:t>
      </w:r>
      <w:hyperlink r:id="rId11" w:history="1">
        <w:r w:rsidR="003A72B0" w:rsidRPr="00DF1DEF">
          <w:rPr>
            <w:rStyle w:val="Hyperlink"/>
            <w:rFonts w:ascii="Times New Roman" w:hAnsi="Times New Roman" w:cs="Times New Roman"/>
            <w:color w:val="000000" w:themeColor="text1"/>
            <w:u w:val="none"/>
          </w:rPr>
          <w:t>D</w:t>
        </w:r>
        <w:r w:rsidRPr="00DF1DEF">
          <w:rPr>
            <w:rStyle w:val="Hyperlink"/>
            <w:rFonts w:ascii="Times New Roman" w:hAnsi="Times New Roman" w:cs="Times New Roman"/>
            <w:color w:val="000000" w:themeColor="text1"/>
            <w:u w:val="none"/>
          </w:rPr>
          <w:t>oi</w:t>
        </w:r>
        <w:r w:rsidR="003A72B0" w:rsidRPr="00DF1DEF">
          <w:rPr>
            <w:rStyle w:val="Hyperlink"/>
            <w:rFonts w:ascii="Times New Roman" w:hAnsi="Times New Roman" w:cs="Times New Roman"/>
            <w:color w:val="000000" w:themeColor="text1"/>
            <w:u w:val="none"/>
          </w:rPr>
          <w:t>: 1</w:t>
        </w:r>
        <w:r w:rsidRPr="00DF1DEF">
          <w:rPr>
            <w:rStyle w:val="Hyperlink"/>
            <w:rFonts w:ascii="Times New Roman" w:hAnsi="Times New Roman" w:cs="Times New Roman"/>
            <w:color w:val="000000" w:themeColor="text1"/>
            <w:u w:val="none"/>
          </w:rPr>
          <w:t>0.1186/s12913-019-4335-3</w:t>
        </w:r>
      </w:hyperlink>
    </w:p>
    <w:p w14:paraId="5880E94C" w14:textId="6C912412" w:rsidR="008815C3" w:rsidRPr="00DF1DEF" w:rsidRDefault="008815C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 xml:space="preserve">Smith, J., Merlino, A., Christie, B., Adams, M., Bonson, J., Osborne, R., Drummond, M., Judd, B., Aanundsen, D., Fleay, J. &amp; Gupta, H. (2020). </w:t>
      </w:r>
      <w:hyperlink r:id="rId12" w:history="1">
        <w:r w:rsidRPr="00DF1DEF">
          <w:rPr>
            <w:rStyle w:val="Hyperlink"/>
            <w:rFonts w:ascii="Times New Roman" w:hAnsi="Times New Roman" w:cs="Times New Roman"/>
            <w:color w:val="000000" w:themeColor="text1"/>
            <w:u w:val="none"/>
          </w:rPr>
          <w:t>Using social media in health literacy research: A promising example using Facebook with young Aboriginal and Torres Strait Islander males from the Top End of the Northern Territory.</w:t>
        </w:r>
      </w:hyperlink>
      <w:r w:rsidRPr="00DF1DEF">
        <w:rPr>
          <w:rFonts w:ascii="Times New Roman" w:hAnsi="Times New Roman" w:cs="Times New Roman"/>
          <w:color w:val="000000" w:themeColor="text1"/>
        </w:rPr>
        <w:t> </w:t>
      </w:r>
      <w:r w:rsidRPr="00DF1DEF">
        <w:rPr>
          <w:rFonts w:ascii="Times New Roman" w:hAnsi="Times New Roman" w:cs="Times New Roman"/>
          <w:i/>
          <w:color w:val="000000" w:themeColor="text1"/>
        </w:rPr>
        <w:t>Health Promotion Journal of Australia (Special Issue – Equity &amp; Health Literacy).</w:t>
      </w:r>
      <w:r w:rsidR="003A72B0" w:rsidRPr="00DF1DEF">
        <w:rPr>
          <w:rFonts w:ascii="Times New Roman" w:hAnsi="Times New Roman" w:cs="Times New Roman"/>
          <w:color w:val="000000" w:themeColor="text1"/>
        </w:rPr>
        <w:t xml:space="preserve"> Pp, 1-33</w:t>
      </w:r>
    </w:p>
    <w:p w14:paraId="0C6CC4FF" w14:textId="429339CD" w:rsidR="008815C3" w:rsidRPr="00DF1DEF" w:rsidRDefault="008815C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White, F. (2015</w:t>
      </w:r>
      <w:r w:rsidRPr="00DF1DEF">
        <w:rPr>
          <w:rFonts w:ascii="Times New Roman" w:hAnsi="Times New Roman" w:cs="Times New Roman"/>
          <w:i/>
          <w:color w:val="000000" w:themeColor="text1"/>
        </w:rPr>
        <w:t xml:space="preserve">). </w:t>
      </w:r>
      <w:r w:rsidRPr="00DF1DEF">
        <w:rPr>
          <w:rFonts w:ascii="Times New Roman" w:hAnsi="Times New Roman" w:cs="Times New Roman"/>
          <w:iCs/>
          <w:color w:val="000000" w:themeColor="text1"/>
        </w:rPr>
        <w:t xml:space="preserve">Primary Health Care and Public Health: Foundations of Universal Health Systems. </w:t>
      </w:r>
      <w:r w:rsidRPr="00DF1DEF">
        <w:rPr>
          <w:rFonts w:ascii="Times New Roman" w:hAnsi="Times New Roman" w:cs="Times New Roman"/>
          <w:i/>
          <w:iCs/>
          <w:color w:val="000000" w:themeColor="text1"/>
        </w:rPr>
        <w:t>Medical Principles and Practice, 24(2), 103–116.</w:t>
      </w:r>
      <w:r w:rsidRPr="00DF1DEF">
        <w:rPr>
          <w:rFonts w:ascii="Times New Roman" w:hAnsi="Times New Roman" w:cs="Times New Roman"/>
          <w:color w:val="000000" w:themeColor="text1"/>
        </w:rPr>
        <w:t xml:space="preserve"> </w:t>
      </w:r>
      <w:r w:rsidR="007B5F71" w:rsidRPr="00DF1DEF">
        <w:rPr>
          <w:rFonts w:ascii="Times New Roman" w:hAnsi="Times New Roman" w:cs="Times New Roman"/>
          <w:color w:val="000000" w:themeColor="text1"/>
        </w:rPr>
        <w:t>Doi: 10.1159</w:t>
      </w:r>
      <w:r w:rsidRPr="00DF1DEF">
        <w:rPr>
          <w:rFonts w:ascii="Times New Roman" w:hAnsi="Times New Roman" w:cs="Times New Roman"/>
          <w:color w:val="000000" w:themeColor="text1"/>
        </w:rPr>
        <w:t>/000370197 </w:t>
      </w:r>
    </w:p>
    <w:p w14:paraId="43CE1C17" w14:textId="572C1AFD" w:rsidR="008815C3" w:rsidRPr="00DF1DEF" w:rsidRDefault="00583CD4" w:rsidP="00DF1DEF">
      <w:pPr>
        <w:autoSpaceDE w:val="0"/>
        <w:autoSpaceDN w:val="0"/>
        <w:adjustRightInd w:val="0"/>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lang w:val="en-US"/>
        </w:rPr>
        <w:t>WHO</w:t>
      </w:r>
      <w:r w:rsidRPr="00DF1DEF">
        <w:rPr>
          <w:rFonts w:ascii="Times New Roman" w:hAnsi="Times New Roman" w:cs="Times New Roman"/>
          <w:color w:val="000000" w:themeColor="text1"/>
          <w:lang w:val="en-US"/>
        </w:rPr>
        <w:t xml:space="preserve"> (2008). </w:t>
      </w:r>
      <w:r w:rsidRPr="00DF1DEF">
        <w:rPr>
          <w:rFonts w:ascii="Times New Roman" w:hAnsi="Times New Roman" w:cs="Times New Roman"/>
          <w:color w:val="000000" w:themeColor="text1"/>
          <w:lang w:val="en-US"/>
        </w:rPr>
        <w:t>The Ri</w:t>
      </w:r>
      <w:r w:rsidRPr="00DF1DEF">
        <w:rPr>
          <w:rFonts w:ascii="Times New Roman" w:hAnsi="Times New Roman" w:cs="Times New Roman"/>
          <w:color w:val="000000" w:themeColor="text1"/>
          <w:lang w:val="en-US"/>
        </w:rPr>
        <w:t xml:space="preserve">ght to Health, Factsheet No. 31. </w:t>
      </w:r>
      <w:r w:rsidRPr="00DF1DEF">
        <w:rPr>
          <w:rFonts w:ascii="Times New Roman" w:hAnsi="Times New Roman" w:cs="Times New Roman"/>
          <w:i/>
          <w:color w:val="000000" w:themeColor="text1"/>
        </w:rPr>
        <w:t>World Health Organization; Office of the United Nations High Commissioner for Human Rights</w:t>
      </w:r>
      <w:r w:rsidRPr="00DF1DEF">
        <w:rPr>
          <w:rFonts w:ascii="Times New Roman" w:hAnsi="Times New Roman" w:cs="Times New Roman"/>
          <w:i/>
          <w:color w:val="000000" w:themeColor="text1"/>
        </w:rPr>
        <w:t>,</w:t>
      </w:r>
      <w:r w:rsidRPr="00DF1DEF">
        <w:rPr>
          <w:rFonts w:ascii="Times New Roman" w:hAnsi="Times New Roman" w:cs="Times New Roman"/>
          <w:color w:val="000000" w:themeColor="text1"/>
        </w:rPr>
        <w:t xml:space="preserve"> P</w:t>
      </w:r>
      <w:r w:rsidRPr="00DF1DEF">
        <w:rPr>
          <w:rFonts w:ascii="Times New Roman" w:hAnsi="Times New Roman" w:cs="Times New Roman"/>
          <w:color w:val="000000" w:themeColor="text1"/>
          <w:lang w:val="en-US"/>
        </w:rPr>
        <w:t xml:space="preserve">p. 1-52. </w:t>
      </w:r>
      <w:r w:rsidRPr="00DF1DEF">
        <w:rPr>
          <w:rFonts w:ascii="Times New Roman" w:hAnsi="Times New Roman" w:cs="Times New Roman"/>
          <w:color w:val="000000" w:themeColor="text1"/>
        </w:rPr>
        <w:t>Retrieved on 17 February 2021 from</w:t>
      </w:r>
      <w:r w:rsidRPr="00DF1DEF">
        <w:rPr>
          <w:rFonts w:ascii="Times New Roman" w:hAnsi="Times New Roman" w:cs="Times New Roman"/>
          <w:color w:val="000000" w:themeColor="text1"/>
        </w:rPr>
        <w:t xml:space="preserve"> https://www.who.int/gender-equity-rights/knowledge/right-to-health-factsheet/en/</w:t>
      </w:r>
    </w:p>
    <w:p w14:paraId="05E53612" w14:textId="462E6C00" w:rsidR="008815C3" w:rsidRPr="00DF1DEF" w:rsidRDefault="008815C3" w:rsidP="00DF1DEF">
      <w:pPr>
        <w:spacing w:line="480" w:lineRule="auto"/>
        <w:ind w:left="1440" w:hanging="1440"/>
        <w:rPr>
          <w:rFonts w:ascii="Times New Roman" w:hAnsi="Times New Roman" w:cs="Times New Roman"/>
          <w:color w:val="000000" w:themeColor="text1"/>
        </w:rPr>
      </w:pPr>
      <w:r w:rsidRPr="00DF1DEF">
        <w:rPr>
          <w:rFonts w:ascii="Times New Roman" w:hAnsi="Times New Roman" w:cs="Times New Roman"/>
          <w:color w:val="000000" w:themeColor="text1"/>
        </w:rPr>
        <w:t>Waterworth P, Pescud</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M</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Braham</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R</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Dimmock</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J</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w:t>
      </w:r>
      <w:r w:rsidR="003A72B0" w:rsidRPr="00DF1DEF">
        <w:rPr>
          <w:rFonts w:ascii="Times New Roman" w:hAnsi="Times New Roman" w:cs="Times New Roman"/>
          <w:color w:val="000000" w:themeColor="text1"/>
        </w:rPr>
        <w:t xml:space="preserve">&amp; </w:t>
      </w:r>
      <w:r w:rsidRPr="00DF1DEF">
        <w:rPr>
          <w:rFonts w:ascii="Times New Roman" w:hAnsi="Times New Roman" w:cs="Times New Roman"/>
          <w:color w:val="000000" w:themeColor="text1"/>
        </w:rPr>
        <w:t>Rosenberg</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M</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(2015)</w:t>
      </w:r>
      <w:r w:rsidR="003A72B0" w:rsidRPr="00DF1DEF">
        <w:rPr>
          <w:rFonts w:ascii="Times New Roman" w:hAnsi="Times New Roman" w:cs="Times New Roman"/>
          <w:color w:val="000000" w:themeColor="text1"/>
        </w:rPr>
        <w:t>.</w:t>
      </w:r>
      <w:r w:rsidRPr="00DF1DEF">
        <w:rPr>
          <w:rFonts w:ascii="Times New Roman" w:hAnsi="Times New Roman" w:cs="Times New Roman"/>
          <w:color w:val="000000" w:themeColor="text1"/>
        </w:rPr>
        <w:t xml:space="preserve"> Factors Influencing the Health Behaviour of Indigenous Australians: Perspectives from Support People. </w:t>
      </w:r>
      <w:r w:rsidRPr="00DF1DEF">
        <w:rPr>
          <w:rFonts w:ascii="Times New Roman" w:hAnsi="Times New Roman" w:cs="Times New Roman"/>
          <w:i/>
          <w:color w:val="000000" w:themeColor="text1"/>
        </w:rPr>
        <w:t>PLoS ONE 10</w:t>
      </w:r>
      <w:r w:rsidR="003A72B0" w:rsidRPr="00DF1DEF">
        <w:rPr>
          <w:rFonts w:ascii="Times New Roman" w:hAnsi="Times New Roman" w:cs="Times New Roman"/>
          <w:color w:val="000000" w:themeColor="text1"/>
        </w:rPr>
        <w:t>(11): e0142323. D</w:t>
      </w:r>
      <w:r w:rsidRPr="00DF1DEF">
        <w:rPr>
          <w:rFonts w:ascii="Times New Roman" w:hAnsi="Times New Roman" w:cs="Times New Roman"/>
          <w:color w:val="000000" w:themeColor="text1"/>
        </w:rPr>
        <w:t>oi</w:t>
      </w:r>
      <w:r w:rsidR="003A72B0" w:rsidRPr="00DF1DEF">
        <w:rPr>
          <w:rFonts w:ascii="Times New Roman" w:hAnsi="Times New Roman" w:cs="Times New Roman"/>
          <w:color w:val="000000" w:themeColor="text1"/>
        </w:rPr>
        <w:t>: 1</w:t>
      </w:r>
      <w:r w:rsidRPr="00DF1DEF">
        <w:rPr>
          <w:rFonts w:ascii="Times New Roman" w:hAnsi="Times New Roman" w:cs="Times New Roman"/>
          <w:color w:val="000000" w:themeColor="text1"/>
        </w:rPr>
        <w:t>0.1371/journal.pone.0142323</w:t>
      </w:r>
    </w:p>
    <w:sectPr w:rsidR="008815C3" w:rsidRPr="00DF1DEF" w:rsidSect="00DF1DEF">
      <w:headerReference w:type="default" r:id="rId13"/>
      <w:headerReference w:type="first" r:id="rId14"/>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E6D9C" w14:textId="77777777" w:rsidR="004E38E1" w:rsidRDefault="004E38E1" w:rsidP="00DF1DEF">
      <w:r>
        <w:separator/>
      </w:r>
    </w:p>
  </w:endnote>
  <w:endnote w:type="continuationSeparator" w:id="0">
    <w:p w14:paraId="151AA32C" w14:textId="77777777" w:rsidR="004E38E1" w:rsidRDefault="004E38E1" w:rsidP="00DF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F79754" w14:textId="77777777" w:rsidR="004E38E1" w:rsidRDefault="004E38E1" w:rsidP="00DF1DEF">
      <w:r>
        <w:separator/>
      </w:r>
    </w:p>
  </w:footnote>
  <w:footnote w:type="continuationSeparator" w:id="0">
    <w:p w14:paraId="0ACD08BE" w14:textId="77777777" w:rsidR="004E38E1" w:rsidRDefault="004E38E1" w:rsidP="00DF1D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065089144"/>
      <w:docPartObj>
        <w:docPartGallery w:val="Page Numbers (Top of Page)"/>
        <w:docPartUnique/>
      </w:docPartObj>
    </w:sdtPr>
    <w:sdtEndPr>
      <w:rPr>
        <w:noProof/>
      </w:rPr>
    </w:sdtEndPr>
    <w:sdtContent>
      <w:p w14:paraId="4BDF8E12" w14:textId="2B88A4DA" w:rsidR="00DF1DEF" w:rsidRPr="00DF1DEF" w:rsidRDefault="00DF1DEF" w:rsidP="00DF1DEF">
        <w:pPr>
          <w:pStyle w:val="Header"/>
          <w:rPr>
            <w:rFonts w:ascii="Times New Roman" w:hAnsi="Times New Roman" w:cs="Times New Roman"/>
          </w:rPr>
        </w:pPr>
        <w:r w:rsidRPr="00DF1DEF">
          <w:rPr>
            <w:rFonts w:ascii="Times New Roman" w:hAnsi="Times New Roman" w:cs="Times New Roman"/>
            <w:color w:val="000000" w:themeColor="text1"/>
          </w:rPr>
          <w:t>HUMAN RIGHTS-BASED APPROACH TO CARE</w:t>
        </w:r>
        <w:r w:rsidRPr="00DF1DEF">
          <w:rPr>
            <w:rFonts w:ascii="Times New Roman" w:hAnsi="Times New Roman" w:cs="Times New Roman"/>
          </w:rPr>
          <w:t xml:space="preserve"> </w:t>
        </w:r>
        <w:r w:rsidRPr="00DF1DEF">
          <w:rPr>
            <w:rFonts w:ascii="Times New Roman" w:hAnsi="Times New Roman" w:cs="Times New Roman"/>
          </w:rPr>
          <w:tab/>
        </w:r>
        <w:r w:rsidRPr="00DF1DEF">
          <w:rPr>
            <w:rFonts w:ascii="Times New Roman" w:hAnsi="Times New Roman" w:cs="Times New Roman"/>
          </w:rPr>
          <w:fldChar w:fldCharType="begin"/>
        </w:r>
        <w:r w:rsidRPr="00DF1DEF">
          <w:rPr>
            <w:rFonts w:ascii="Times New Roman" w:hAnsi="Times New Roman" w:cs="Times New Roman"/>
          </w:rPr>
          <w:instrText xml:space="preserve"> PAGE   \* MERGEFORMAT </w:instrText>
        </w:r>
        <w:r w:rsidRPr="00DF1DEF">
          <w:rPr>
            <w:rFonts w:ascii="Times New Roman" w:hAnsi="Times New Roman" w:cs="Times New Roman"/>
          </w:rPr>
          <w:fldChar w:fldCharType="separate"/>
        </w:r>
        <w:r w:rsidR="00780D47">
          <w:rPr>
            <w:rFonts w:ascii="Times New Roman" w:hAnsi="Times New Roman" w:cs="Times New Roman"/>
            <w:noProof/>
          </w:rPr>
          <w:t>11</w:t>
        </w:r>
        <w:r w:rsidRPr="00DF1DEF">
          <w:rPr>
            <w:rFonts w:ascii="Times New Roman" w:hAnsi="Times New Roman" w:cs="Times New Roman"/>
            <w:noProof/>
          </w:rPr>
          <w:fldChar w:fldCharType="end"/>
        </w:r>
      </w:p>
    </w:sdtContent>
  </w:sdt>
  <w:p w14:paraId="709589CE" w14:textId="77777777" w:rsidR="00DF1DEF" w:rsidRDefault="00DF1D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96D3F" w14:textId="50F1625A" w:rsidR="00DF1DEF" w:rsidRDefault="00DF1DEF">
    <w:pPr>
      <w:pStyle w:val="Header"/>
    </w:pPr>
    <w:r>
      <w:rPr>
        <w:rFonts w:ascii="Times New Roman" w:hAnsi="Times New Roman" w:cs="Times New Roman"/>
        <w:color w:val="000000" w:themeColor="text1"/>
      </w:rPr>
      <w:t xml:space="preserve">Running Head: </w:t>
    </w:r>
    <w:r w:rsidRPr="00DF1DEF">
      <w:rPr>
        <w:rFonts w:ascii="Times New Roman" w:hAnsi="Times New Roman" w:cs="Times New Roman"/>
        <w:color w:val="000000" w:themeColor="text1"/>
      </w:rPr>
      <w:t>HUMAN RIGHTS-BASED APPROACH</w:t>
    </w:r>
    <w:r>
      <w:rPr>
        <w:rFonts w:ascii="Times New Roman" w:hAnsi="Times New Roman" w:cs="Times New Roman"/>
        <w:color w:val="000000" w:themeColor="text1"/>
      </w:rPr>
      <w:t xml:space="preserve"> TO CARE</w:t>
    </w:r>
    <w:r>
      <w:rPr>
        <w:rFonts w:ascii="Times New Roman" w:hAnsi="Times New Roman" w:cs="Times New Roman"/>
        <w:color w:val="000000" w:themeColor="text1"/>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182EFB"/>
    <w:multiLevelType w:val="hybridMultilevel"/>
    <w:tmpl w:val="7DC8F57E"/>
    <w:lvl w:ilvl="0" w:tplc="54BE92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EEA"/>
    <w:rsid w:val="00023666"/>
    <w:rsid w:val="000F6588"/>
    <w:rsid w:val="00181D06"/>
    <w:rsid w:val="00184D8C"/>
    <w:rsid w:val="001B1E0B"/>
    <w:rsid w:val="001B6B5A"/>
    <w:rsid w:val="0021106A"/>
    <w:rsid w:val="002438E0"/>
    <w:rsid w:val="00257AC2"/>
    <w:rsid w:val="002B1874"/>
    <w:rsid w:val="002F061D"/>
    <w:rsid w:val="00332277"/>
    <w:rsid w:val="00335BBF"/>
    <w:rsid w:val="0036547D"/>
    <w:rsid w:val="00370A4C"/>
    <w:rsid w:val="00372A2B"/>
    <w:rsid w:val="003A72B0"/>
    <w:rsid w:val="003D2BCF"/>
    <w:rsid w:val="003E74C8"/>
    <w:rsid w:val="004037A9"/>
    <w:rsid w:val="00467980"/>
    <w:rsid w:val="00486F27"/>
    <w:rsid w:val="004A07D4"/>
    <w:rsid w:val="004D195B"/>
    <w:rsid w:val="004E38E1"/>
    <w:rsid w:val="004F7A53"/>
    <w:rsid w:val="00582C34"/>
    <w:rsid w:val="00583CD4"/>
    <w:rsid w:val="005A7A4F"/>
    <w:rsid w:val="005B54C1"/>
    <w:rsid w:val="005C4EC1"/>
    <w:rsid w:val="005E38D5"/>
    <w:rsid w:val="006127EF"/>
    <w:rsid w:val="00667047"/>
    <w:rsid w:val="006B3DB7"/>
    <w:rsid w:val="007123FC"/>
    <w:rsid w:val="00753659"/>
    <w:rsid w:val="00761AF8"/>
    <w:rsid w:val="00764147"/>
    <w:rsid w:val="00780D47"/>
    <w:rsid w:val="00787EEA"/>
    <w:rsid w:val="00793528"/>
    <w:rsid w:val="007A62CD"/>
    <w:rsid w:val="007B5F71"/>
    <w:rsid w:val="007E60FB"/>
    <w:rsid w:val="007F2B1B"/>
    <w:rsid w:val="00875DAD"/>
    <w:rsid w:val="008815C3"/>
    <w:rsid w:val="008B20CC"/>
    <w:rsid w:val="008C400A"/>
    <w:rsid w:val="008C4895"/>
    <w:rsid w:val="008F59FE"/>
    <w:rsid w:val="009023A2"/>
    <w:rsid w:val="0093725C"/>
    <w:rsid w:val="009857E9"/>
    <w:rsid w:val="009A0DEF"/>
    <w:rsid w:val="009A4DFB"/>
    <w:rsid w:val="009A6388"/>
    <w:rsid w:val="009C1EDC"/>
    <w:rsid w:val="00A72C85"/>
    <w:rsid w:val="00B40B3F"/>
    <w:rsid w:val="00B530F3"/>
    <w:rsid w:val="00B608EC"/>
    <w:rsid w:val="00B67156"/>
    <w:rsid w:val="00BC605D"/>
    <w:rsid w:val="00BD494E"/>
    <w:rsid w:val="00C5742B"/>
    <w:rsid w:val="00C9391B"/>
    <w:rsid w:val="00C93B55"/>
    <w:rsid w:val="00CE38D0"/>
    <w:rsid w:val="00CE69F7"/>
    <w:rsid w:val="00CF169B"/>
    <w:rsid w:val="00D225F0"/>
    <w:rsid w:val="00D42356"/>
    <w:rsid w:val="00D73B34"/>
    <w:rsid w:val="00DA0E6D"/>
    <w:rsid w:val="00DE6600"/>
    <w:rsid w:val="00DF1DEF"/>
    <w:rsid w:val="00E11499"/>
    <w:rsid w:val="00E13337"/>
    <w:rsid w:val="00E27D0C"/>
    <w:rsid w:val="00E43329"/>
    <w:rsid w:val="00E75D62"/>
    <w:rsid w:val="00EA3003"/>
    <w:rsid w:val="00F22DC0"/>
    <w:rsid w:val="00F71E23"/>
    <w:rsid w:val="00FA3CF7"/>
    <w:rsid w:val="00FB6D2F"/>
    <w:rsid w:val="00FC5FD7"/>
    <w:rsid w:val="00FE6044"/>
    <w:rsid w:val="00FF4BF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3BE93"/>
  <w15:chartTrackingRefBased/>
  <w15:docId w15:val="{23630E31-ADF4-0842-B690-193BEA29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EEA"/>
    <w:pPr>
      <w:ind w:left="720"/>
      <w:contextualSpacing/>
    </w:pPr>
  </w:style>
  <w:style w:type="character" w:styleId="Hyperlink">
    <w:name w:val="Hyperlink"/>
    <w:basedOn w:val="DefaultParagraphFont"/>
    <w:uiPriority w:val="99"/>
    <w:unhideWhenUsed/>
    <w:rsid w:val="00D225F0"/>
    <w:rPr>
      <w:color w:val="0000FF"/>
      <w:u w:val="single"/>
    </w:rPr>
  </w:style>
  <w:style w:type="paragraph" w:styleId="Header">
    <w:name w:val="header"/>
    <w:basedOn w:val="Normal"/>
    <w:link w:val="HeaderChar"/>
    <w:uiPriority w:val="99"/>
    <w:unhideWhenUsed/>
    <w:rsid w:val="00DF1DEF"/>
    <w:pPr>
      <w:tabs>
        <w:tab w:val="center" w:pos="4680"/>
        <w:tab w:val="right" w:pos="9360"/>
      </w:tabs>
    </w:pPr>
  </w:style>
  <w:style w:type="character" w:customStyle="1" w:styleId="HeaderChar">
    <w:name w:val="Header Char"/>
    <w:basedOn w:val="DefaultParagraphFont"/>
    <w:link w:val="Header"/>
    <w:uiPriority w:val="99"/>
    <w:rsid w:val="00DF1DEF"/>
  </w:style>
  <w:style w:type="paragraph" w:styleId="Footer">
    <w:name w:val="footer"/>
    <w:basedOn w:val="Normal"/>
    <w:link w:val="FooterChar"/>
    <w:uiPriority w:val="99"/>
    <w:unhideWhenUsed/>
    <w:rsid w:val="00DF1DEF"/>
    <w:pPr>
      <w:tabs>
        <w:tab w:val="center" w:pos="4680"/>
        <w:tab w:val="right" w:pos="9360"/>
      </w:tabs>
    </w:pPr>
  </w:style>
  <w:style w:type="character" w:customStyle="1" w:styleId="FooterChar">
    <w:name w:val="Footer Char"/>
    <w:basedOn w:val="DefaultParagraphFont"/>
    <w:link w:val="Footer"/>
    <w:uiPriority w:val="99"/>
    <w:rsid w:val="00DF1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0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witja.org.au/page/research/research-categories/cultural-and-social-determinants/culture-for-health-and-wellbeing/projects/health-literacy-among-young-aboriginal-and-torres-strait-islander-males-in-the-northern-territor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umanrights.gov.au/our-work/publications/achieving-aboriginal-and-torres-strait-islander-health-equality-within" TargetMode="External"/><Relationship Id="rId12" Type="http://schemas.openxmlformats.org/officeDocument/2006/relationships/hyperlink" Target="https://onlinelibrary.wiley.com/doi/full/10.1002/hpja.4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12913-019-4335-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86/s12889-019-6614-7" TargetMode="External"/><Relationship Id="rId4" Type="http://schemas.openxmlformats.org/officeDocument/2006/relationships/webSettings" Target="webSettings.xml"/><Relationship Id="rId9" Type="http://schemas.openxmlformats.org/officeDocument/2006/relationships/hyperlink" Target="https://doi.org/10.1016/j.cnre.2017.10.009"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11</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USER</cp:lastModifiedBy>
  <cp:revision>51</cp:revision>
  <dcterms:created xsi:type="dcterms:W3CDTF">2021-02-17T04:05:00Z</dcterms:created>
  <dcterms:modified xsi:type="dcterms:W3CDTF">2021-02-17T11:21:00Z</dcterms:modified>
</cp:coreProperties>
</file>